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4DB6" w:rsidRDefault="008A4DB6" w:rsidP="008A4DB6">
      <w:r>
        <w:t>L'objectif du travail réalisé est de faire ressortir l'intérêt d'une radiothérapie conformationnelle 3D comparée aux techniques conventionnelles de calcul et de traitement en radiothérapie en effectuant une étude comparative effectuée sur un nombre de patients (34 cas) atteints d'un cancer pulmonaire non à petites cellules (CBNPC), la partie pratique de ce travail, a été réalisée au service de radiothérapie des Cliniques Saint-Luc (Université Catholique de Louvain) à Bruxelles , où nous avons utilisé le système Helax de planification de traitement pour le calcul des distributions de doses et la génération des Histogrammes-Dose-Volume (DVH) dans le cas du calcul 3D.</w:t>
      </w:r>
    </w:p>
    <w:p w:rsidR="008A4DB6" w:rsidRDefault="008A4DB6" w:rsidP="008A4DB6">
      <w:r>
        <w:t xml:space="preserve">Pour la planification 2D avec une énergie de 15 MV RX, la technique d'irradiation utilisée consiste en 02 faisceaux AP-PA avec une dose de 40 Gy et 02 faisceaux obliques avec des doses respectivement, de 10, 20, 24, 26 Gy. Un cache focalisé permet de protéger les organes à risque.Quant à la planification 3D avec des énergies de 6, 8 et 25 MV RX,  la technique choisie utilise entre 3 à 8 faisceaux avec une dose respectivement de 50, 60, 64 et 66 Gy. Le faisceau a été modifié en utilisant des collimateurs multilames, des caches personnalisés et des filtres en coin. Les paramètres suivants ont été comparés avec les deux techniques pour tous les patients : le volume moyen des poumons recevant  25 Gy, le volume moyen du poumon traité recevant  25 Gy, les doses reçues par les deux poumons, le volume moyen du coeur recevant 45 Gy, volume moyen de l'oesophage recevant 50 Gy et les doses moyennes reçues par la moelle. Nous avons par ailleurs, subdivisé les 34 patients en deux catégories, la première (Groupe A, 09 patients) rassemble les patients qui ont été traités avec une dose de 50 Gy et la seconde catégorie (Groupe B, 25 patients) rassemble les patients traités avec une dose supérieure ou égale à 60 Gy. La comparaison des DVH pour les deux poumons et pour chaque poumon séparément ainsi que pour les organes à risques (coeur-oesophage-moelle) en termes de dose et de volume a été étudiée.  </w:t>
      </w:r>
    </w:p>
    <w:p w:rsidR="009D0710" w:rsidRDefault="008A4DB6" w:rsidP="008A4DB6">
      <w:r>
        <w:t>Les résultats obtenus montrent de manière irréfutable la supériorité de la radiothérapie conformationnelle 3D tant sur le plan de la possibilité d'escalade de dose au volume cible que dans la protection des organes à risque dans le traitement du cancer bronchique non à petites cellules.</w:t>
      </w:r>
    </w:p>
    <w:sectPr w:rsidR="009D0710" w:rsidSect="009D071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A4DB6"/>
    <w:rsid w:val="008A4DB6"/>
    <w:rsid w:val="009D071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071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364</Words>
  <Characters>2004</Characters>
  <Application>Microsoft Office Word</Application>
  <DocSecurity>0</DocSecurity>
  <Lines>16</Lines>
  <Paragraphs>4</Paragraphs>
  <ScaleCrop>false</ScaleCrop>
  <Company/>
  <LinksUpToDate>false</LinksUpToDate>
  <CharactersWithSpaces>2364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2015-01-20T09:13:00Z</dcterms:created>
  <dcterms:modified xsi:type="dcterms:W3CDTF">2015-01-20T09:13:00Z</dcterms:modified>
</cp:coreProperties>
</file>