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BD8" w:rsidRPr="00395BD8" w:rsidRDefault="00395BD8" w:rsidP="00395BD8">
      <w:pPr>
        <w:bidi w:val="0"/>
        <w:rPr>
          <w:lang w:val="fr-FR" w:bidi="ar-DZ"/>
        </w:rPr>
      </w:pPr>
      <w:r w:rsidRPr="00395BD8">
        <w:rPr>
          <w:lang w:val="fr-FR" w:bidi="ar-DZ"/>
        </w:rPr>
        <w:t>Le but de ce travail est d'apporter une contribution à l'analyse du phénobarbital dans le sang, grâce à l'aide de techniques chromatographiques telles que la CLHP et la GCMS. L'extraction du milieu sanguin a été optimisée afin d'obtenir le meilleur rendement, ainsi que les conditions  opératoires de la CLHP afin d'assurer une bonne séparation.</w:t>
      </w:r>
    </w:p>
    <w:p w:rsidR="00395BD8" w:rsidRPr="00395BD8" w:rsidRDefault="00395BD8" w:rsidP="00395BD8">
      <w:pPr>
        <w:bidi w:val="0"/>
        <w:rPr>
          <w:lang w:val="fr-FR" w:bidi="ar-DZ"/>
        </w:rPr>
      </w:pPr>
      <w:r w:rsidRPr="00395BD8">
        <w:rPr>
          <w:lang w:val="fr-FR" w:bidi="ar-DZ"/>
        </w:rPr>
        <w:t>La méthode CLHP a été validée à 254 nm.</w:t>
      </w:r>
    </w:p>
    <w:p w:rsidR="00395BD8" w:rsidRPr="00395BD8" w:rsidRDefault="00395BD8" w:rsidP="00395BD8">
      <w:pPr>
        <w:bidi w:val="0"/>
        <w:rPr>
          <w:rtl/>
          <w:lang w:val="fr-FR" w:bidi="ar-DZ"/>
        </w:rPr>
      </w:pPr>
    </w:p>
    <w:p w:rsidR="007D4C8B" w:rsidRPr="00395BD8" w:rsidRDefault="007D4C8B" w:rsidP="00395BD8">
      <w:pPr>
        <w:bidi w:val="0"/>
        <w:rPr>
          <w:rFonts w:hint="cs"/>
          <w:lang w:val="fr-FR" w:bidi="ar-DZ"/>
        </w:rPr>
      </w:pPr>
    </w:p>
    <w:sectPr w:rsidR="007D4C8B" w:rsidRPr="00395BD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95BD8"/>
    <w:rsid w:val="00395BD8"/>
    <w:rsid w:val="005F47AF"/>
    <w:rsid w:val="007D4C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4C8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331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2015-06-11T13:04:00Z</dcterms:created>
  <dcterms:modified xsi:type="dcterms:W3CDTF">2015-06-11T13:04:00Z</dcterms:modified>
</cp:coreProperties>
</file>