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07D3" w:rsidRDefault="00CD0B62">
      <w:r w:rsidRPr="00CD0B62">
        <w:t>L'adsorption du chrome hexavalent sur la résine anionique fortement basique du nom commercial IRA410 a été étudiée. Les expériences ont été conduites dans un réacteur  agité fermé. L'équilibre d'adsorption a été déterminé par l'application de plusieurs modèles. Les résultats obtenus montrent que l'état d'équilibre est  bien représenté par l'isotherme de l'isotherme de Toth à trois paramètres. Les paramètres sont calculés par régressions non- linéaire et linéaire. La capacité maximale de fixation dépend fortement de la valeur du pH du milieu et qu'à pH=3, on a la meilleure capacité de fixation. L'influence de la masse de la résine, la concentration initiale, la granulométrie, la vitesse d'agitation et la température a été examinée. Les résultats expérimentaux ont été interprétés sur la base de plusieurs modèles cinétiques. L'analyse des modèles cinétiques appliqués montre que le processus d'adsorption du chrome (VI) par l'Amberlite IRA410 fait intervenir les trois étapes: le transfert de masse externe, le transfert de masse interne et les réactions en surfaces. Les paramètres thermodynamiques ont été évalués. L'adsorption du chrome hexavalent est endothermique L'adsorption du chrome hexavalent sur l' IRA410 a été également mise en oeuvre dans un réacteur à lit fluidisé. Une étude du comportement hydrodynamique a été effectuée et l'équation de Richardson et Zaki a été choisie pour représenter les résultats expérimentaux. L'effet de la masse de la résine sur la cinétique a été examiné. La comparaison entre les deux réacteurs montre que la quantité du chrome (VI) retenue par l'Amberlite IRA410 est la même.</w:t>
      </w:r>
    </w:p>
    <w:sectPr w:rsidR="007207D3" w:rsidSect="007207D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D0B62"/>
    <w:rsid w:val="007207D3"/>
    <w:rsid w:val="00CD0B6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07D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250</Words>
  <Characters>1380</Characters>
  <Application>Microsoft Office Word</Application>
  <DocSecurity>0</DocSecurity>
  <Lines>11</Lines>
  <Paragraphs>3</Paragraphs>
  <ScaleCrop>false</ScaleCrop>
  <Company/>
  <LinksUpToDate>false</LinksUpToDate>
  <CharactersWithSpaces>1627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2015-10-29T12:30:00Z</dcterms:created>
  <dcterms:modified xsi:type="dcterms:W3CDTF">2015-10-29T12:31:00Z</dcterms:modified>
</cp:coreProperties>
</file>