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E3592" w:rsidRDefault="00E06D21" w:rsidP="004259C1">
      <w:r>
        <w:t>Resumé</w:t>
      </w:r>
    </w:p>
    <w:p w:rsidR="007915B2" w:rsidRDefault="007915B2" w:rsidP="007915B2">
      <w:r>
        <w:t>L’état actuel des parcours steppiques est le résultat des contraintes d’un milieu précaire(aridité climatique et édaphique) et d’une exploitation anthropique ancienne et de plus en plus intense.Pour évaluer la diversité floristique des steppes à alfa, une matrice de 183 relevés et 499 espèces récoltées dans toutes les formations à alfa de l’Algérie, a été soumise à des analyses factorielles des correspondances combinées à la classification hiérarchique ascendante. Les facteurs écologiques déterminant dans la répartition de la végétation mis en évidence par le premier traitement numérique (analyse globale) seraient la pluviosité, la thermophilie, la dégradation d’origine anthropique, la moyenne des températures minimales du mois le plus froid (m) et l’état de la surface du sol. Le deuxième traitement qui a consisté en des analyses partielles a permit la discrimination de dix (10) groupements de relevés caractérisés d’une part sur le plan biologique et phytochorique à travers la détermination de leurs spectres bruts et réels et d’autre part sur le plan pastorale par l’indice pastoral (Is). Par ailleurs la diversité floristique a été exprimée à travers le calcul des indices de diversités (Shannon et équitabilité) et la construction de diagrammes Rang Fréquences (DRF) pour chaque groupement. Les résultats de ces analyses montrent sur le plan biologique une thérophytisation et une chamaephytisation traduisant ainsi une dynamique régressive de la végétation. Au point de vu phytochorique cette dernière est caractérisée par une réduction relative des éléments méditerranéens et endémiques l’augmentation des saharo arabiques dû essentiellement à l’aridité du climat. La flore de notre dition est riche de 496 espèces réparties sur 46 familles et 256 genres. Les familles les plus représentées sont les Astéracées (19.5%), les Poacées (10.4%), les Brassicacées (10.2%) et les Fabacées (10.2%). Globalement 30% de ces taxons sont classés rares parmi lesquels figurent des espèces à intérêt fourrager. Sur le plan pastoral la flore de notre région d’étude est constituée de 60% d’espèces classées bonnes et très bonnes pastorales. La caractérisation pastorale des différents groupements par le calcul de leur valeur pastorale ne montre pas de corrélation entre cette dernière et les gradients pluviométrique et anthropique. Les indices testés (Shannon et équitabilité) ainsi que les diagrammes Rang Fréquences ont montré que la  diversité spécifique serait influencée par les conditions écologiques stationnelles (voile sableux et ensablement).</w:t>
      </w:r>
    </w:p>
    <w:sectPr w:rsidR="007915B2" w:rsidSect="00794EE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E06D21"/>
    <w:rsid w:val="002355A0"/>
    <w:rsid w:val="0040127A"/>
    <w:rsid w:val="00411ABD"/>
    <w:rsid w:val="004259C1"/>
    <w:rsid w:val="004D2D1D"/>
    <w:rsid w:val="005D0AF7"/>
    <w:rsid w:val="005E0658"/>
    <w:rsid w:val="00653637"/>
    <w:rsid w:val="00671DD9"/>
    <w:rsid w:val="00714974"/>
    <w:rsid w:val="007915B2"/>
    <w:rsid w:val="00794EE1"/>
    <w:rsid w:val="00857AA5"/>
    <w:rsid w:val="008E3592"/>
    <w:rsid w:val="00902935"/>
    <w:rsid w:val="00957E49"/>
    <w:rsid w:val="009D4A66"/>
    <w:rsid w:val="00B252F5"/>
    <w:rsid w:val="00C07073"/>
    <w:rsid w:val="00C46911"/>
    <w:rsid w:val="00E06D21"/>
    <w:rsid w:val="00FF118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94EE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Pages>
  <Words>394</Words>
  <Characters>2173</Characters>
  <Application>Microsoft Office Word</Application>
  <DocSecurity>0</DocSecurity>
  <Lines>18</Lines>
  <Paragraphs>5</Paragraphs>
  <ScaleCrop>false</ScaleCrop>
  <Company/>
  <LinksUpToDate>false</LinksUpToDate>
  <CharactersWithSpaces>2562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22</cp:revision>
  <dcterms:created xsi:type="dcterms:W3CDTF">2015-06-09T13:05:00Z</dcterms:created>
  <dcterms:modified xsi:type="dcterms:W3CDTF">2015-06-10T13:05:00Z</dcterms:modified>
</cp:coreProperties>
</file>