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E46" w:rsidRDefault="008C0E46" w:rsidP="008C0E46">
      <w:pPr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</w:p>
    <w:p w:rsidR="008845F0" w:rsidRPr="008C0E46" w:rsidRDefault="00573A21" w:rsidP="008C0E46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8C0E46">
        <w:rPr>
          <w:rFonts w:ascii="Times New Roman" w:hAnsi="Times New Roman" w:cs="Times New Roman"/>
          <w:b/>
          <w:bCs/>
          <w:sz w:val="32"/>
          <w:szCs w:val="32"/>
          <w:u w:val="single"/>
        </w:rPr>
        <w:t>Résumé</w:t>
      </w:r>
      <w:r w:rsidR="008C0E46">
        <w:rPr>
          <w:rFonts w:ascii="Times New Roman" w:hAnsi="Times New Roman" w:cs="Times New Roman"/>
          <w:b/>
          <w:bCs/>
          <w:sz w:val="32"/>
          <w:szCs w:val="32"/>
          <w:u w:val="single"/>
        </w:rPr>
        <w:t> </w:t>
      </w:r>
      <w:r w:rsidR="008C0E46" w:rsidRPr="008C0E46">
        <w:rPr>
          <w:rFonts w:ascii="Times New Roman" w:hAnsi="Times New Roman" w:cs="Times New Roman"/>
          <w:b/>
          <w:bCs/>
          <w:sz w:val="32"/>
          <w:szCs w:val="32"/>
        </w:rPr>
        <w:t>:</w:t>
      </w:r>
    </w:p>
    <w:p w:rsidR="00573A21" w:rsidRDefault="00573A21" w:rsidP="00573A2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eastAsia="fr-FR"/>
        </w:rPr>
      </w:pPr>
      <w:r w:rsidRPr="00573A21">
        <w:rPr>
          <w:rFonts w:asciiTheme="majorBidi" w:hAnsiTheme="majorBidi" w:cstheme="majorBidi"/>
          <w:sz w:val="24"/>
          <w:szCs w:val="24"/>
        </w:rPr>
        <w:t xml:space="preserve">La chimie des hétérocycles est un élément central de la chimie organique et de la biochimie, qui repose sur un ensemble de structures spécifiques : des composés organiques de structure cyclique contenant au moins un hétéroatome (le plus souvent l'azote, l'oxygène ou le soufre). Elle reste à ce jour </w:t>
      </w:r>
      <w:proofErr w:type="gramStart"/>
      <w:r w:rsidRPr="00573A21">
        <w:rPr>
          <w:rFonts w:asciiTheme="majorBidi" w:hAnsiTheme="majorBidi" w:cstheme="majorBidi"/>
          <w:sz w:val="24"/>
          <w:szCs w:val="24"/>
        </w:rPr>
        <w:t>dominante</w:t>
      </w:r>
      <w:proofErr w:type="gramEnd"/>
      <w:r w:rsidRPr="00573A21">
        <w:rPr>
          <w:rFonts w:asciiTheme="majorBidi" w:hAnsiTheme="majorBidi" w:cstheme="majorBidi"/>
          <w:sz w:val="24"/>
          <w:szCs w:val="24"/>
        </w:rPr>
        <w:t xml:space="preserve"> aussi bien dans la synthèse de nouvelles séries biologiquement actives que dans la production des réactifs destinés au diagnostic et à d’autres produits de l’industrie. </w:t>
      </w:r>
      <w:r w:rsidRPr="00573A21">
        <w:rPr>
          <w:rFonts w:asciiTheme="majorBidi" w:hAnsiTheme="majorBidi" w:cstheme="majorBidi"/>
          <w:bCs/>
          <w:sz w:val="24"/>
          <w:szCs w:val="24"/>
        </w:rPr>
        <w:t>Le travail que nous présentons fait partie d'un ensemble de recherches réalisées dans notre laboratoire. Il est axé sur la synthèse, la réactivité et l'étude physico-chimique des composés hétérocycliques qui dérivent</w:t>
      </w:r>
      <w:r w:rsidRPr="00573A21">
        <w:rPr>
          <w:rFonts w:asciiTheme="majorBidi" w:hAnsiTheme="majorBidi" w:cstheme="majorBidi"/>
          <w:sz w:val="24"/>
          <w:szCs w:val="24"/>
        </w:rPr>
        <w:t xml:space="preserve"> de la 3-acétyle-4-hydroxy-6- méthyle-2-pyrone (DHA) et les benzopyrones-2 (coumarines). Ces deux classes de produits hétérocycliques présentent des applications dans les domaines thérapeutiques les plus variés. </w:t>
      </w:r>
      <w:r w:rsidRPr="00573A21">
        <w:rPr>
          <w:rFonts w:asciiTheme="majorBidi" w:hAnsiTheme="majorBidi" w:cstheme="majorBidi"/>
          <w:bCs/>
          <w:sz w:val="24"/>
          <w:szCs w:val="24"/>
        </w:rPr>
        <w:t>Nous rapportons une procédure de synthèse efficace des dérivés de</w:t>
      </w:r>
      <w:r w:rsidRPr="00573A21">
        <w:rPr>
          <w:rFonts w:asciiTheme="majorBidi" w:hAnsiTheme="majorBidi" w:cstheme="majorBidi"/>
          <w:sz w:val="24"/>
          <w:szCs w:val="24"/>
        </w:rPr>
        <w:t>[1,2,4]</w:t>
      </w:r>
      <w:proofErr w:type="spellStart"/>
      <w:r w:rsidRPr="00573A21">
        <w:rPr>
          <w:rFonts w:asciiTheme="majorBidi" w:hAnsiTheme="majorBidi" w:cstheme="majorBidi"/>
          <w:sz w:val="24"/>
          <w:szCs w:val="24"/>
        </w:rPr>
        <w:t>triazolo</w:t>
      </w:r>
      <w:proofErr w:type="spellEnd"/>
      <w:r w:rsidRPr="00573A21">
        <w:rPr>
          <w:rFonts w:asciiTheme="majorBidi" w:hAnsiTheme="majorBidi" w:cstheme="majorBidi"/>
          <w:sz w:val="24"/>
          <w:szCs w:val="24"/>
        </w:rPr>
        <w:t>[3,4-b][1,3,4]</w:t>
      </w:r>
      <w:proofErr w:type="spellStart"/>
      <w:r w:rsidRPr="00573A21">
        <w:rPr>
          <w:rFonts w:asciiTheme="majorBidi" w:hAnsiTheme="majorBidi" w:cstheme="majorBidi"/>
          <w:sz w:val="24"/>
          <w:szCs w:val="24"/>
        </w:rPr>
        <w:t>thiadiazines</w:t>
      </w:r>
      <w:proofErr w:type="spellEnd"/>
      <w:r w:rsidRPr="00573A21">
        <w:rPr>
          <w:rFonts w:asciiTheme="majorBidi" w:hAnsiTheme="majorBidi" w:cstheme="majorBidi"/>
          <w:sz w:val="24"/>
          <w:szCs w:val="24"/>
        </w:rPr>
        <w:t xml:space="preserve"> </w:t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 xml:space="preserve">en utilisant les dérivés </w:t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sym w:font="Symbol" w:char="F061"/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>-</w:t>
      </w:r>
      <w:proofErr w:type="spellStart"/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>bromoacétyle</w:t>
      </w:r>
      <w:proofErr w:type="spellEnd"/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 xml:space="preserve"> et le </w:t>
      </w:r>
      <w:r w:rsidRPr="00573A21">
        <w:rPr>
          <w:rFonts w:asciiTheme="majorBidi" w:hAnsiTheme="majorBidi" w:cstheme="majorBidi"/>
          <w:sz w:val="24"/>
          <w:szCs w:val="24"/>
        </w:rPr>
        <w:t>2-(4-amino-5-mercapto-4H-1,2,4- triazol-3-yl)  phénol </w:t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 xml:space="preserve">. </w:t>
      </w:r>
      <w:r w:rsidRPr="00573A21">
        <w:rPr>
          <w:rFonts w:asciiTheme="majorBidi" w:hAnsiTheme="majorBidi" w:cstheme="majorBidi"/>
          <w:sz w:val="24"/>
          <w:szCs w:val="24"/>
        </w:rPr>
        <w:t>Les techniques de RMN2D nous ont permis de confirmer les structures proposées.</w:t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 xml:space="preserve"> L’étude du pouvoir antioxydant  de ces composés a été réalisé par la méthode de réduction du radical DPPH qui a confirmé cette activité,</w:t>
      </w:r>
      <w:r w:rsidRPr="00573A21">
        <w:rPr>
          <w:rFonts w:asciiTheme="majorBidi" w:hAnsiTheme="majorBidi" w:cstheme="majorBidi"/>
          <w:sz w:val="24"/>
          <w:szCs w:val="24"/>
        </w:rPr>
        <w:t xml:space="preserve">  </w:t>
      </w:r>
      <w:r w:rsidRPr="00573A21">
        <w:rPr>
          <w:rFonts w:asciiTheme="majorBidi" w:hAnsiTheme="majorBidi" w:cstheme="majorBidi"/>
          <w:bCs/>
          <w:sz w:val="24"/>
          <w:szCs w:val="24"/>
        </w:rPr>
        <w:t xml:space="preserve">nous avons décrit une méthode de synthèse simple et facile de </w:t>
      </w:r>
      <w:r w:rsidRPr="00573A21">
        <w:rPr>
          <w:rFonts w:asciiTheme="majorBidi" w:hAnsiTheme="majorBidi" w:cstheme="majorBidi"/>
          <w:sz w:val="24"/>
          <w:szCs w:val="24"/>
        </w:rPr>
        <w:t xml:space="preserve"> 3-[(2</w:t>
      </w:r>
      <w:r w:rsidRPr="00573A21">
        <w:rPr>
          <w:rFonts w:asciiTheme="majorBidi" w:hAnsiTheme="majorBidi" w:cstheme="majorBidi"/>
          <w:i/>
          <w:iCs/>
          <w:sz w:val="24"/>
          <w:szCs w:val="24"/>
        </w:rPr>
        <w:t>E</w:t>
      </w:r>
      <w:r w:rsidRPr="00573A21">
        <w:rPr>
          <w:rFonts w:asciiTheme="majorBidi" w:hAnsiTheme="majorBidi" w:cstheme="majorBidi"/>
          <w:sz w:val="24"/>
          <w:szCs w:val="24"/>
        </w:rPr>
        <w:t>)-3-(</w:t>
      </w:r>
      <w:proofErr w:type="spellStart"/>
      <w:r w:rsidRPr="00573A21">
        <w:rPr>
          <w:rFonts w:asciiTheme="majorBidi" w:hAnsiTheme="majorBidi" w:cstheme="majorBidi"/>
          <w:sz w:val="24"/>
          <w:szCs w:val="24"/>
        </w:rPr>
        <w:t>diméthylamino</w:t>
      </w:r>
      <w:proofErr w:type="spellEnd"/>
      <w:r w:rsidRPr="00573A21">
        <w:rPr>
          <w:rFonts w:asciiTheme="majorBidi" w:hAnsiTheme="majorBidi" w:cstheme="majorBidi"/>
          <w:sz w:val="24"/>
          <w:szCs w:val="24"/>
        </w:rPr>
        <w:t>) prop-2-énoyl]-4-hydroxy-6-méthyl-2</w:t>
      </w:r>
      <w:r w:rsidRPr="00573A21">
        <w:rPr>
          <w:rFonts w:asciiTheme="majorBidi" w:hAnsiTheme="majorBidi" w:cstheme="majorBidi"/>
          <w:i/>
          <w:iCs/>
          <w:sz w:val="24"/>
          <w:szCs w:val="24"/>
        </w:rPr>
        <w:t>H</w:t>
      </w:r>
      <w:r w:rsidRPr="00573A21">
        <w:rPr>
          <w:rFonts w:asciiTheme="majorBidi" w:hAnsiTheme="majorBidi" w:cstheme="majorBidi"/>
          <w:sz w:val="24"/>
          <w:szCs w:val="24"/>
        </w:rPr>
        <w:t xml:space="preserve">-pyran-2-one et nous avons étudié  </w:t>
      </w:r>
      <w:r w:rsidRPr="00573A21">
        <w:rPr>
          <w:rFonts w:asciiTheme="majorBidi" w:eastAsia="Calibri" w:hAnsiTheme="majorBidi" w:cstheme="majorBidi"/>
          <w:sz w:val="24"/>
          <w:szCs w:val="24"/>
          <w:lang w:eastAsia="fr-FR"/>
        </w:rPr>
        <w:t xml:space="preserve">leur réactivité de </w:t>
      </w:r>
      <w:proofErr w:type="spellStart"/>
      <w:r w:rsidRPr="00573A21">
        <w:rPr>
          <w:rFonts w:asciiTheme="majorBidi" w:eastAsia="Calibri" w:hAnsiTheme="majorBidi" w:cstheme="majorBidi"/>
          <w:sz w:val="24"/>
          <w:szCs w:val="24"/>
          <w:lang w:eastAsia="fr-FR"/>
        </w:rPr>
        <w:t>transamination</w:t>
      </w:r>
      <w:proofErr w:type="spellEnd"/>
      <w:r w:rsidRPr="00573A21">
        <w:rPr>
          <w:rFonts w:asciiTheme="majorBidi" w:eastAsia="Calibri" w:hAnsiTheme="majorBidi" w:cstheme="majorBidi"/>
          <w:sz w:val="24"/>
          <w:szCs w:val="24"/>
          <w:lang w:eastAsia="fr-FR"/>
        </w:rPr>
        <w:t xml:space="preserve"> </w:t>
      </w:r>
      <w:r w:rsidRPr="00573A21">
        <w:rPr>
          <w:rFonts w:asciiTheme="majorBidi" w:hAnsiTheme="majorBidi" w:cstheme="majorBidi"/>
          <w:sz w:val="24"/>
          <w:szCs w:val="24"/>
        </w:rPr>
        <w:t>avec une série d’amines aromatiques</w:t>
      </w:r>
      <w:r w:rsidRPr="00573A21">
        <w:rPr>
          <w:rFonts w:asciiTheme="majorBidi" w:eastAsia="Calibri" w:hAnsiTheme="majorBidi" w:cstheme="majorBidi"/>
          <w:sz w:val="24"/>
          <w:szCs w:val="24"/>
          <w:lang w:eastAsia="fr-FR"/>
        </w:rPr>
        <w:t xml:space="preserve"> par la voie conventionnelle et par la voie de synthèse assistée par micro-ondes.</w:t>
      </w:r>
      <w:r w:rsidRPr="00573A21">
        <w:rPr>
          <w:rFonts w:asciiTheme="majorBidi" w:hAnsiTheme="majorBidi" w:cstheme="majorBidi"/>
          <w:sz w:val="24"/>
          <w:szCs w:val="24"/>
        </w:rPr>
        <w:t xml:space="preserve"> </w:t>
      </w:r>
      <w:r w:rsidRPr="00573A21">
        <w:rPr>
          <w:rFonts w:asciiTheme="majorBidi" w:hAnsiTheme="majorBidi" w:cstheme="majorBidi"/>
          <w:color w:val="000000"/>
          <w:sz w:val="24"/>
          <w:szCs w:val="24"/>
          <w:lang w:eastAsia="fr-FR"/>
        </w:rPr>
        <w:t xml:space="preserve">Les produits synthétisés ont été soumis à une étude UV/Vis et de fluorescence dans le but de rechercher de nouvelles sondes fluorescentes applicables dans le domaine de la biologie. </w:t>
      </w:r>
    </w:p>
    <w:p w:rsidR="00573A21" w:rsidRPr="00573A21" w:rsidRDefault="00573A21" w:rsidP="00573A21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573A21" w:rsidRPr="00573A21" w:rsidSect="008845F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73A21"/>
    <w:rsid w:val="002F0855"/>
    <w:rsid w:val="00573A21"/>
    <w:rsid w:val="006C6261"/>
    <w:rsid w:val="0084048D"/>
    <w:rsid w:val="008845F0"/>
    <w:rsid w:val="008C0E46"/>
    <w:rsid w:val="009157B2"/>
    <w:rsid w:val="00982BC5"/>
    <w:rsid w:val="00CD0C24"/>
    <w:rsid w:val="00E83E39"/>
    <w:rsid w:val="00F7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26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uiPriority w:val="35"/>
    <w:unhideWhenUsed/>
    <w:qFormat/>
    <w:rsid w:val="006C6261"/>
    <w:pPr>
      <w:spacing w:line="240" w:lineRule="auto"/>
      <w:jc w:val="both"/>
    </w:pPr>
    <w:rPr>
      <w:rFonts w:ascii="Times New Roman" w:hAnsi="Times New Roman"/>
      <w:i/>
      <w:iCs/>
      <w:color w:val="1F497D" w:themeColor="text2"/>
      <w:sz w:val="18"/>
      <w:szCs w:val="18"/>
      <w:lang w:val="pt-PT"/>
    </w:rPr>
  </w:style>
  <w:style w:type="character" w:styleId="Accentuation">
    <w:name w:val="Emphasis"/>
    <w:basedOn w:val="Policepardfaut"/>
    <w:uiPriority w:val="20"/>
    <w:qFormat/>
    <w:rsid w:val="006C6261"/>
    <w:rPr>
      <w:i/>
      <w:iCs/>
    </w:rPr>
  </w:style>
  <w:style w:type="paragraph" w:styleId="Paragraphedeliste">
    <w:name w:val="List Paragraph"/>
    <w:basedOn w:val="Normal"/>
    <w:uiPriority w:val="34"/>
    <w:qFormat/>
    <w:rsid w:val="006C6261"/>
    <w:pPr>
      <w:ind w:left="720"/>
      <w:contextualSpacing/>
    </w:pPr>
  </w:style>
  <w:style w:type="character" w:styleId="Emphaseple">
    <w:name w:val="Subtle Emphasis"/>
    <w:basedOn w:val="Policepardfaut"/>
    <w:uiPriority w:val="19"/>
    <w:qFormat/>
    <w:rsid w:val="006C6261"/>
    <w:rPr>
      <w:rFonts w:eastAsiaTheme="minorEastAsia" w:cstheme="minorBidi"/>
      <w:bCs w:val="0"/>
      <w:i/>
      <w:iCs/>
      <w:color w:val="808080" w:themeColor="text1" w:themeTint="7F"/>
      <w:szCs w:val="22"/>
      <w:lang w:val="fr-FR"/>
    </w:rPr>
  </w:style>
  <w:style w:type="paragraph" w:customStyle="1" w:styleId="DecimalAligned">
    <w:name w:val="Decimal Aligned"/>
    <w:basedOn w:val="Normal"/>
    <w:uiPriority w:val="40"/>
    <w:qFormat/>
    <w:rsid w:val="006C6261"/>
    <w:pPr>
      <w:tabs>
        <w:tab w:val="decimal" w:pos="360"/>
      </w:tabs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282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 I5</dc:creator>
  <cp:lastModifiedBy>b-13</cp:lastModifiedBy>
  <cp:revision>4</cp:revision>
  <dcterms:created xsi:type="dcterms:W3CDTF">2018-12-02T14:30:00Z</dcterms:created>
  <dcterms:modified xsi:type="dcterms:W3CDTF">2019-05-26T10:45:00Z</dcterms:modified>
</cp:coreProperties>
</file>