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58FC" w:rsidRPr="0091265C" w:rsidRDefault="005758FC" w:rsidP="00AE0BA9">
      <w:pPr>
        <w:pStyle w:val="En-tte"/>
        <w:pBdr>
          <w:between w:val="single" w:sz="4" w:space="1" w:color="4F81BD"/>
        </w:pBdr>
        <w:tabs>
          <w:tab w:val="clear" w:pos="9072"/>
          <w:tab w:val="right" w:pos="8647"/>
        </w:tabs>
        <w:spacing w:line="276" w:lineRule="auto"/>
        <w:ind w:left="284" w:right="425"/>
        <w:jc w:val="center"/>
        <w:rPr>
          <w:b/>
          <w:bCs/>
          <w:sz w:val="32"/>
          <w:szCs w:val="32"/>
        </w:rPr>
      </w:pPr>
      <w:r>
        <w:rPr>
          <w:b/>
          <w:bCs/>
          <w:sz w:val="32"/>
          <w:szCs w:val="32"/>
        </w:rPr>
        <w:t>Sur l’aspect diélectrique d’un plasma *</w:t>
      </w:r>
    </w:p>
    <w:p w:rsidR="005758FC" w:rsidRPr="0091265C" w:rsidRDefault="005758FC" w:rsidP="00AE0BA9">
      <w:pPr>
        <w:tabs>
          <w:tab w:val="right" w:pos="8647"/>
        </w:tabs>
        <w:spacing w:after="0" w:line="360" w:lineRule="auto"/>
        <w:ind w:left="284" w:right="425"/>
        <w:jc w:val="center"/>
        <w:rPr>
          <w:rFonts w:ascii="Times New Roman" w:hAnsi="Times New Roman" w:cs="Times New Roman"/>
          <w:b/>
          <w:bCs/>
          <w:sz w:val="24"/>
          <w:szCs w:val="24"/>
        </w:rPr>
      </w:pPr>
      <w:r w:rsidRPr="0091265C">
        <w:rPr>
          <w:rFonts w:ascii="Times New Roman" w:hAnsi="Times New Roman" w:cs="Times New Roman"/>
          <w:b/>
          <w:bCs/>
          <w:sz w:val="24"/>
          <w:szCs w:val="24"/>
        </w:rPr>
        <w:t>Mohamed Ouazene</w:t>
      </w:r>
      <w:r>
        <w:rPr>
          <w:rFonts w:ascii="Times New Roman" w:hAnsi="Times New Roman" w:cs="Times New Roman"/>
          <w:b/>
          <w:bCs/>
          <w:sz w:val="24"/>
          <w:szCs w:val="24"/>
        </w:rPr>
        <w:t>**</w:t>
      </w:r>
    </w:p>
    <w:p w:rsidR="005758FC" w:rsidRPr="00ED4CA5" w:rsidRDefault="00ED4CA5" w:rsidP="00AE0BA9">
      <w:pPr>
        <w:tabs>
          <w:tab w:val="right" w:pos="8647"/>
        </w:tabs>
        <w:spacing w:after="0" w:line="360" w:lineRule="auto"/>
        <w:ind w:left="284" w:right="425"/>
        <w:jc w:val="center"/>
        <w:rPr>
          <w:rFonts w:ascii="Times New Roman" w:hAnsi="Times New Roman" w:cs="Times New Roman"/>
          <w:sz w:val="24"/>
          <w:szCs w:val="24"/>
        </w:rPr>
      </w:pPr>
      <w:r w:rsidRPr="00ED4CA5">
        <w:rPr>
          <w:rFonts w:ascii="Times New Roman" w:hAnsi="Times New Roman" w:cs="Times New Roman"/>
          <w:sz w:val="24"/>
          <w:szCs w:val="24"/>
        </w:rPr>
        <w:t xml:space="preserve">Département </w:t>
      </w:r>
      <w:r w:rsidR="00C2072A">
        <w:rPr>
          <w:rFonts w:ascii="Times New Roman" w:hAnsi="Times New Roman" w:cs="Times New Roman"/>
          <w:sz w:val="24"/>
          <w:szCs w:val="24"/>
        </w:rPr>
        <w:t xml:space="preserve">de la </w:t>
      </w:r>
      <w:r w:rsidRPr="00ED4CA5">
        <w:rPr>
          <w:rFonts w:ascii="Times New Roman" w:hAnsi="Times New Roman" w:cs="Times New Roman"/>
          <w:sz w:val="24"/>
          <w:szCs w:val="24"/>
        </w:rPr>
        <w:t>physique des matériaux</w:t>
      </w:r>
    </w:p>
    <w:p w:rsidR="005758FC" w:rsidRPr="0091265C" w:rsidRDefault="005758FC" w:rsidP="00AE0BA9">
      <w:pPr>
        <w:tabs>
          <w:tab w:val="right" w:pos="8647"/>
        </w:tabs>
        <w:spacing w:after="0"/>
        <w:ind w:left="284" w:right="425"/>
        <w:jc w:val="center"/>
        <w:rPr>
          <w:rFonts w:ascii="Times New Roman" w:hAnsi="Times New Roman" w:cs="Times New Roman"/>
          <w:sz w:val="24"/>
          <w:szCs w:val="24"/>
        </w:rPr>
      </w:pPr>
      <w:r w:rsidRPr="0091265C">
        <w:rPr>
          <w:rFonts w:ascii="Times New Roman" w:hAnsi="Times New Roman" w:cs="Times New Roman"/>
          <w:sz w:val="24"/>
          <w:szCs w:val="24"/>
        </w:rPr>
        <w:t>Faculté de physique</w:t>
      </w:r>
      <w:r>
        <w:rPr>
          <w:rFonts w:ascii="Times New Roman" w:hAnsi="Times New Roman" w:cs="Times New Roman"/>
          <w:sz w:val="24"/>
          <w:szCs w:val="24"/>
        </w:rPr>
        <w:t>, USTHB BP 32, El Alia Bab Ezzouar (Alger)</w:t>
      </w:r>
    </w:p>
    <w:p w:rsidR="005758FC" w:rsidRDefault="005758FC" w:rsidP="00AE0BA9">
      <w:pPr>
        <w:tabs>
          <w:tab w:val="right" w:pos="8647"/>
        </w:tabs>
        <w:spacing w:after="0"/>
        <w:ind w:left="284" w:right="425"/>
        <w:jc w:val="both"/>
        <w:rPr>
          <w:rFonts w:ascii="Times New Roman" w:hAnsi="Times New Roman" w:cs="Times New Roman"/>
          <w:b/>
          <w:bCs/>
          <w:sz w:val="24"/>
          <w:szCs w:val="24"/>
          <w:u w:val="single"/>
        </w:rPr>
      </w:pPr>
    </w:p>
    <w:p w:rsidR="005758FC" w:rsidRDefault="005758FC" w:rsidP="00AE0BA9">
      <w:pPr>
        <w:tabs>
          <w:tab w:val="right" w:pos="8647"/>
        </w:tabs>
        <w:spacing w:after="0"/>
        <w:ind w:left="284" w:right="425"/>
        <w:jc w:val="both"/>
        <w:rPr>
          <w:rFonts w:ascii="Times New Roman" w:hAnsi="Times New Roman" w:cs="Times New Roman"/>
          <w:b/>
          <w:bCs/>
          <w:sz w:val="24"/>
          <w:szCs w:val="24"/>
          <w:u w:val="single"/>
        </w:rPr>
      </w:pPr>
      <w:r>
        <w:rPr>
          <w:rFonts w:ascii="Times New Roman" w:hAnsi="Times New Roman" w:cs="Times New Roman"/>
          <w:b/>
          <w:bCs/>
          <w:noProof/>
          <w:sz w:val="24"/>
          <w:szCs w:val="24"/>
          <w:u w:val="single"/>
          <w:lang w:eastAsia="fr-FR"/>
        </w:rPr>
        <w:pict>
          <v:rect id="_x0000_s1026" style="position:absolute;left:0;text-align:left;margin-left:-5.2pt;margin-top:9.15pt;width:454.75pt;height:488.45pt;z-index:-251658752"/>
        </w:pict>
      </w:r>
    </w:p>
    <w:p w:rsidR="00D1264A" w:rsidRDefault="005758FC" w:rsidP="00AE0BA9">
      <w:pPr>
        <w:tabs>
          <w:tab w:val="right" w:pos="8647"/>
        </w:tabs>
        <w:spacing w:after="0"/>
        <w:ind w:left="284" w:right="425"/>
        <w:jc w:val="both"/>
        <w:rPr>
          <w:rFonts w:ascii="Times New Roman" w:hAnsi="Times New Roman" w:cs="Times New Roman"/>
          <w:bCs/>
          <w:sz w:val="24"/>
          <w:szCs w:val="24"/>
        </w:rPr>
      </w:pPr>
      <w:r w:rsidRPr="00BB4CD3">
        <w:rPr>
          <w:rFonts w:ascii="Times New Roman" w:hAnsi="Times New Roman" w:cs="Times New Roman"/>
          <w:b/>
          <w:bCs/>
          <w:sz w:val="24"/>
          <w:szCs w:val="24"/>
          <w:u w:val="single"/>
        </w:rPr>
        <w:t>Résumé </w:t>
      </w:r>
      <w:r w:rsidR="00AE0BA9" w:rsidRPr="00BB4CD3">
        <w:rPr>
          <w:rFonts w:ascii="Times New Roman" w:hAnsi="Times New Roman" w:cs="Times New Roman"/>
          <w:b/>
          <w:bCs/>
          <w:sz w:val="24"/>
          <w:szCs w:val="24"/>
          <w:u w:val="single"/>
        </w:rPr>
        <w:t>:</w:t>
      </w:r>
      <w:r w:rsidR="00AE0BA9" w:rsidRPr="00BB4CD3">
        <w:rPr>
          <w:bCs/>
        </w:rPr>
        <w:t xml:space="preserve"> Le</w:t>
      </w:r>
      <w:r w:rsidRPr="00BB4CD3">
        <w:rPr>
          <w:rFonts w:ascii="Times New Roman" w:hAnsi="Times New Roman" w:cs="Times New Roman"/>
          <w:bCs/>
          <w:sz w:val="24"/>
          <w:szCs w:val="24"/>
        </w:rPr>
        <w:t xml:space="preserve"> plasma par définition étant une collection de particules chargées suffisamment dense pour que des effets de la charge d’espace résultent un comportement fortement cohérent, l’étude des ondes (et des instabilités) qu’il peut supporter revêt une importance capitale</w:t>
      </w:r>
      <w:r>
        <w:rPr>
          <w:rFonts w:ascii="Times New Roman" w:hAnsi="Times New Roman" w:cs="Times New Roman"/>
          <w:bCs/>
          <w:sz w:val="24"/>
          <w:szCs w:val="24"/>
        </w:rPr>
        <w:t>.</w:t>
      </w:r>
      <w:r w:rsidR="00585D52">
        <w:rPr>
          <w:rFonts w:ascii="Times New Roman" w:hAnsi="Times New Roman" w:cs="Times New Roman"/>
          <w:bCs/>
          <w:sz w:val="24"/>
          <w:szCs w:val="24"/>
        </w:rPr>
        <w:t xml:space="preserve"> Dans un plasma non magnétisé deux types d’ondes peuvent être supportées, </w:t>
      </w:r>
      <w:proofErr w:type="gramStart"/>
      <w:r w:rsidR="00585D52">
        <w:rPr>
          <w:rFonts w:ascii="Times New Roman" w:hAnsi="Times New Roman" w:cs="Times New Roman"/>
          <w:bCs/>
          <w:sz w:val="24"/>
          <w:szCs w:val="24"/>
        </w:rPr>
        <w:t>viz.,</w:t>
      </w:r>
      <w:proofErr w:type="gramEnd"/>
      <w:r w:rsidR="00C2072A">
        <w:rPr>
          <w:rFonts w:ascii="Times New Roman" w:hAnsi="Times New Roman" w:cs="Times New Roman"/>
          <w:bCs/>
          <w:sz w:val="24"/>
          <w:szCs w:val="24"/>
        </w:rPr>
        <w:t xml:space="preserve"> i/ </w:t>
      </w:r>
      <w:r w:rsidR="00585D52">
        <w:rPr>
          <w:rFonts w:ascii="Times New Roman" w:hAnsi="Times New Roman" w:cs="Times New Roman"/>
          <w:bCs/>
          <w:sz w:val="24"/>
          <w:szCs w:val="24"/>
        </w:rPr>
        <w:t>les ondes électromagnétiques et</w:t>
      </w:r>
      <w:r w:rsidR="00C2072A">
        <w:rPr>
          <w:rFonts w:ascii="Times New Roman" w:hAnsi="Times New Roman" w:cs="Times New Roman"/>
          <w:bCs/>
          <w:sz w:val="24"/>
          <w:szCs w:val="24"/>
        </w:rPr>
        <w:t>,</w:t>
      </w:r>
      <w:r w:rsidR="00585D52">
        <w:rPr>
          <w:rFonts w:ascii="Times New Roman" w:hAnsi="Times New Roman" w:cs="Times New Roman"/>
          <w:bCs/>
          <w:sz w:val="24"/>
          <w:szCs w:val="24"/>
        </w:rPr>
        <w:t xml:space="preserve"> </w:t>
      </w:r>
      <w:r w:rsidR="00C2072A">
        <w:rPr>
          <w:rFonts w:ascii="Times New Roman" w:hAnsi="Times New Roman" w:cs="Times New Roman"/>
          <w:bCs/>
          <w:sz w:val="24"/>
          <w:szCs w:val="24"/>
        </w:rPr>
        <w:t xml:space="preserve">ii/ </w:t>
      </w:r>
      <w:r w:rsidR="00585D52">
        <w:rPr>
          <w:rFonts w:ascii="Times New Roman" w:hAnsi="Times New Roman" w:cs="Times New Roman"/>
          <w:bCs/>
          <w:sz w:val="24"/>
          <w:szCs w:val="24"/>
        </w:rPr>
        <w:t xml:space="preserve">les ondes </w:t>
      </w:r>
      <w:r w:rsidR="00C2072A">
        <w:rPr>
          <w:rFonts w:ascii="Times New Roman" w:hAnsi="Times New Roman" w:cs="Times New Roman"/>
          <w:bCs/>
          <w:sz w:val="24"/>
          <w:szCs w:val="24"/>
        </w:rPr>
        <w:t xml:space="preserve">de Langmuir et ionique, lesquelles sont </w:t>
      </w:r>
      <w:r w:rsidR="00C2072A" w:rsidRPr="00BB4CD3">
        <w:rPr>
          <w:rFonts w:ascii="Times New Roman" w:hAnsi="Times New Roman" w:cs="Times New Roman"/>
          <w:bCs/>
          <w:sz w:val="24"/>
          <w:szCs w:val="24"/>
        </w:rPr>
        <w:t>électrostatiques</w:t>
      </w:r>
      <w:r w:rsidR="00C2072A">
        <w:rPr>
          <w:rFonts w:ascii="Times New Roman" w:hAnsi="Times New Roman" w:cs="Times New Roman"/>
          <w:bCs/>
          <w:sz w:val="24"/>
          <w:szCs w:val="24"/>
        </w:rPr>
        <w:t xml:space="preserve">. Les ondes étant définies par la fréquence ω et le vecteur d’onde </w:t>
      </w:r>
      <w:r w:rsidR="00C2072A" w:rsidRPr="00C2072A">
        <w:rPr>
          <w:rFonts w:ascii="Times New Roman" w:hAnsi="Times New Roman" w:cs="Times New Roman"/>
          <w:b/>
          <w:bCs/>
          <w:sz w:val="24"/>
          <w:szCs w:val="24"/>
        </w:rPr>
        <w:t>k</w:t>
      </w:r>
      <w:r w:rsidR="00C2072A">
        <w:rPr>
          <w:rFonts w:ascii="Times New Roman" w:hAnsi="Times New Roman" w:cs="Times New Roman"/>
          <w:b/>
          <w:bCs/>
          <w:sz w:val="24"/>
          <w:szCs w:val="24"/>
        </w:rPr>
        <w:t xml:space="preserve">, </w:t>
      </w:r>
      <w:r w:rsidR="00C2072A" w:rsidRPr="00C2072A">
        <w:rPr>
          <w:rFonts w:ascii="Times New Roman" w:hAnsi="Times New Roman" w:cs="Times New Roman"/>
          <w:bCs/>
          <w:sz w:val="24"/>
          <w:szCs w:val="24"/>
        </w:rPr>
        <w:t>la relation</w:t>
      </w:r>
      <w:r w:rsidR="00C2072A">
        <w:rPr>
          <w:rFonts w:ascii="Times New Roman" w:hAnsi="Times New Roman" w:cs="Times New Roman"/>
          <w:bCs/>
          <w:sz w:val="24"/>
          <w:szCs w:val="24"/>
        </w:rPr>
        <w:t xml:space="preserve"> établissant la dépendance de la fréquence en termes du nombre d’onde est incontournable : c’est la relation de dispersion. Les vitesses de </w:t>
      </w:r>
      <w:r w:rsidR="00AE0BA9">
        <w:rPr>
          <w:rFonts w:ascii="Times New Roman" w:hAnsi="Times New Roman" w:cs="Times New Roman"/>
          <w:bCs/>
          <w:sz w:val="24"/>
          <w:szCs w:val="24"/>
        </w:rPr>
        <w:t>phase</w:t>
      </w:r>
      <w:r w:rsidR="00C2072A">
        <w:rPr>
          <w:rFonts w:ascii="Times New Roman" w:hAnsi="Times New Roman" w:cs="Times New Roman"/>
          <w:bCs/>
          <w:sz w:val="24"/>
          <w:szCs w:val="24"/>
        </w:rPr>
        <w:t xml:space="preserve"> et de groupe sont justement </w:t>
      </w:r>
      <w:r w:rsidR="00AE0BA9">
        <w:rPr>
          <w:rFonts w:ascii="Times New Roman" w:hAnsi="Times New Roman" w:cs="Times New Roman"/>
          <w:bCs/>
          <w:sz w:val="24"/>
          <w:szCs w:val="24"/>
        </w:rPr>
        <w:t>déduites</w:t>
      </w:r>
      <w:r w:rsidR="00C2072A">
        <w:rPr>
          <w:rFonts w:ascii="Times New Roman" w:hAnsi="Times New Roman" w:cs="Times New Roman"/>
          <w:bCs/>
          <w:sz w:val="24"/>
          <w:szCs w:val="24"/>
        </w:rPr>
        <w:t xml:space="preserve"> de cette </w:t>
      </w:r>
      <w:r w:rsidR="00AE0BA9">
        <w:rPr>
          <w:rFonts w:ascii="Times New Roman" w:hAnsi="Times New Roman" w:cs="Times New Roman"/>
          <w:bCs/>
          <w:sz w:val="24"/>
          <w:szCs w:val="24"/>
        </w:rPr>
        <w:t>dernière</w:t>
      </w:r>
      <w:r w:rsidR="00C2072A">
        <w:rPr>
          <w:rFonts w:ascii="Times New Roman" w:hAnsi="Times New Roman" w:cs="Times New Roman"/>
          <w:bCs/>
          <w:sz w:val="24"/>
          <w:szCs w:val="24"/>
        </w:rPr>
        <w:t xml:space="preserve">. La relation de dispersion s’obtient en calculant la permittivité </w:t>
      </w:r>
      <w:r w:rsidR="00AE0BA9">
        <w:rPr>
          <w:rFonts w:ascii="Times New Roman" w:hAnsi="Times New Roman" w:cs="Times New Roman"/>
          <w:bCs/>
          <w:sz w:val="24"/>
          <w:szCs w:val="24"/>
        </w:rPr>
        <w:t>d’électrique</w:t>
      </w:r>
      <w:r w:rsidR="00C2072A">
        <w:rPr>
          <w:rFonts w:ascii="Times New Roman" w:hAnsi="Times New Roman" w:cs="Times New Roman"/>
          <w:bCs/>
          <w:sz w:val="24"/>
          <w:szCs w:val="24"/>
        </w:rPr>
        <w:t xml:space="preserve"> </w:t>
      </w:r>
      <w:r w:rsidRPr="00BB4CD3">
        <w:rPr>
          <w:rFonts w:ascii="Times New Roman" w:hAnsi="Times New Roman" w:cs="Times New Roman"/>
          <w:bCs/>
          <w:sz w:val="24"/>
          <w:szCs w:val="24"/>
        </w:rPr>
        <w:t>qui est la somme de toutes les susceptibilités des familles de particules constituant le plasma</w:t>
      </w:r>
      <w:r w:rsidR="00C2072A">
        <w:rPr>
          <w:rFonts w:ascii="Times New Roman" w:hAnsi="Times New Roman" w:cs="Times New Roman"/>
          <w:bCs/>
          <w:sz w:val="24"/>
          <w:szCs w:val="24"/>
        </w:rPr>
        <w:t>, le vide y compris</w:t>
      </w:r>
      <w:r w:rsidR="00CB3AEA">
        <w:rPr>
          <w:rFonts w:ascii="Times New Roman" w:hAnsi="Times New Roman" w:cs="Times New Roman"/>
          <w:bCs/>
          <w:sz w:val="24"/>
          <w:szCs w:val="24"/>
        </w:rPr>
        <w:t xml:space="preserve"> dont la susceptibilité est l’unité</w:t>
      </w:r>
      <w:r>
        <w:rPr>
          <w:rFonts w:ascii="Times New Roman" w:hAnsi="Times New Roman" w:cs="Times New Roman"/>
          <w:bCs/>
          <w:sz w:val="24"/>
          <w:szCs w:val="24"/>
        </w:rPr>
        <w:t xml:space="preserve">. Dans le cadre du travail de cette thèse, un type d’ondes particulier a été étudié, </w:t>
      </w:r>
      <w:r w:rsidR="00C664B1">
        <w:rPr>
          <w:rFonts w:ascii="Times New Roman" w:hAnsi="Times New Roman" w:cs="Times New Roman"/>
          <w:bCs/>
          <w:sz w:val="24"/>
          <w:szCs w:val="24"/>
        </w:rPr>
        <w:t xml:space="preserve">à savoir </w:t>
      </w:r>
      <w:r w:rsidR="00C2072A">
        <w:rPr>
          <w:rFonts w:ascii="Times New Roman" w:hAnsi="Times New Roman" w:cs="Times New Roman"/>
          <w:bCs/>
          <w:sz w:val="24"/>
          <w:szCs w:val="24"/>
        </w:rPr>
        <w:t>les</w:t>
      </w:r>
      <w:r>
        <w:rPr>
          <w:rFonts w:ascii="Times New Roman" w:hAnsi="Times New Roman" w:cs="Times New Roman"/>
          <w:bCs/>
          <w:sz w:val="24"/>
          <w:szCs w:val="24"/>
        </w:rPr>
        <w:t xml:space="preserve"> ondes de Langmuir. La relation de dispersion des ondes de Langmuir appelée relation de Bohm-Gross a été établie</w:t>
      </w:r>
      <w:r w:rsidR="00C2072A">
        <w:rPr>
          <w:rFonts w:ascii="Times New Roman" w:hAnsi="Times New Roman" w:cs="Times New Roman"/>
          <w:bCs/>
          <w:sz w:val="24"/>
          <w:szCs w:val="24"/>
        </w:rPr>
        <w:t>, il y a une soixantaine d’années,</w:t>
      </w:r>
      <w:r>
        <w:rPr>
          <w:rFonts w:ascii="Times New Roman" w:hAnsi="Times New Roman" w:cs="Times New Roman"/>
          <w:bCs/>
          <w:sz w:val="24"/>
          <w:szCs w:val="24"/>
        </w:rPr>
        <w:t xml:space="preserve"> en considérant </w:t>
      </w:r>
      <w:r w:rsidRPr="002D2B8F">
        <w:rPr>
          <w:rFonts w:ascii="Times New Roman" w:hAnsi="Times New Roman" w:cs="Times New Roman"/>
          <w:bCs/>
          <w:sz w:val="24"/>
          <w:szCs w:val="24"/>
        </w:rPr>
        <w:t xml:space="preserve">une fonction de distribution </w:t>
      </w:r>
      <w:r>
        <w:rPr>
          <w:rFonts w:ascii="Times New Roman" w:hAnsi="Times New Roman" w:cs="Times New Roman"/>
          <w:bCs/>
          <w:sz w:val="24"/>
          <w:szCs w:val="24"/>
        </w:rPr>
        <w:t xml:space="preserve">Maxwellienne </w:t>
      </w:r>
      <w:r w:rsidRPr="002D2B8F">
        <w:rPr>
          <w:rFonts w:ascii="Times New Roman" w:hAnsi="Times New Roman" w:cs="Times New Roman"/>
          <w:bCs/>
          <w:sz w:val="24"/>
          <w:szCs w:val="24"/>
        </w:rPr>
        <w:t>des vitesses des particules</w:t>
      </w:r>
      <w:r>
        <w:rPr>
          <w:rFonts w:ascii="Times New Roman" w:hAnsi="Times New Roman" w:cs="Times New Roman"/>
          <w:bCs/>
          <w:sz w:val="24"/>
          <w:szCs w:val="24"/>
        </w:rPr>
        <w:t xml:space="preserve">. </w:t>
      </w:r>
      <w:r w:rsidR="00AE0BA9">
        <w:rPr>
          <w:rFonts w:ascii="Times New Roman" w:hAnsi="Times New Roman" w:cs="Times New Roman"/>
          <w:bCs/>
          <w:sz w:val="24"/>
          <w:szCs w:val="24"/>
        </w:rPr>
        <w:t>Nous avons obtenu</w:t>
      </w:r>
      <w:r w:rsidRPr="00214CE2">
        <w:rPr>
          <w:rFonts w:ascii="Times New Roman" w:hAnsi="Times New Roman" w:cs="Times New Roman"/>
          <w:bCs/>
          <w:sz w:val="24"/>
          <w:szCs w:val="24"/>
        </w:rPr>
        <w:t xml:space="preserve"> </w:t>
      </w:r>
      <w:r w:rsidR="00C664B1">
        <w:rPr>
          <w:rFonts w:ascii="Times New Roman" w:hAnsi="Times New Roman" w:cs="Times New Roman"/>
          <w:bCs/>
          <w:sz w:val="24"/>
          <w:szCs w:val="24"/>
        </w:rPr>
        <w:t xml:space="preserve">une </w:t>
      </w:r>
      <w:r w:rsidRPr="00214CE2">
        <w:rPr>
          <w:rFonts w:ascii="Times New Roman" w:hAnsi="Times New Roman" w:cs="Times New Roman"/>
          <w:bCs/>
          <w:sz w:val="24"/>
          <w:szCs w:val="24"/>
        </w:rPr>
        <w:t>nouvelle relation de dispersion de</w:t>
      </w:r>
      <w:r>
        <w:rPr>
          <w:rFonts w:ascii="Times New Roman" w:hAnsi="Times New Roman" w:cs="Times New Roman"/>
          <w:bCs/>
          <w:sz w:val="24"/>
          <w:szCs w:val="24"/>
        </w:rPr>
        <w:t xml:space="preserve">s </w:t>
      </w:r>
      <w:r w:rsidRPr="00214CE2">
        <w:rPr>
          <w:rFonts w:ascii="Times New Roman" w:hAnsi="Times New Roman" w:cs="Times New Roman"/>
          <w:bCs/>
          <w:sz w:val="24"/>
          <w:szCs w:val="24"/>
        </w:rPr>
        <w:t>onde</w:t>
      </w:r>
      <w:r>
        <w:rPr>
          <w:rFonts w:ascii="Times New Roman" w:hAnsi="Times New Roman" w:cs="Times New Roman"/>
          <w:bCs/>
          <w:sz w:val="24"/>
          <w:szCs w:val="24"/>
        </w:rPr>
        <w:t>s</w:t>
      </w:r>
      <w:r w:rsidRPr="00214CE2">
        <w:rPr>
          <w:rFonts w:ascii="Times New Roman" w:hAnsi="Times New Roman" w:cs="Times New Roman"/>
          <w:bCs/>
          <w:sz w:val="24"/>
          <w:szCs w:val="24"/>
        </w:rPr>
        <w:t xml:space="preserve"> de Langmuir en privilégiant une fonction de distribution non </w:t>
      </w:r>
      <w:r w:rsidRPr="00C664B1">
        <w:rPr>
          <w:rFonts w:ascii="Times New Roman" w:hAnsi="Times New Roman" w:cs="Times New Roman"/>
          <w:bCs/>
          <w:sz w:val="24"/>
          <w:szCs w:val="24"/>
        </w:rPr>
        <w:t xml:space="preserve">Maxwellienne des vitesses des électrons proposée il y a une quarantaine d’années </w:t>
      </w:r>
      <w:r w:rsidR="00C664B1" w:rsidRPr="00C664B1">
        <w:rPr>
          <w:rFonts w:ascii="Times New Roman" w:hAnsi="Times New Roman" w:cs="Times New Roman"/>
          <w:bCs/>
          <w:sz w:val="24"/>
          <w:szCs w:val="24"/>
        </w:rPr>
        <w:t xml:space="preserve">par </w:t>
      </w:r>
      <w:r w:rsidR="00C664B1" w:rsidRPr="00C664B1">
        <w:rPr>
          <w:rFonts w:ascii="Times New Roman" w:hAnsi="Times New Roman" w:cs="Times New Roman"/>
        </w:rPr>
        <w:t xml:space="preserve">Wright et </w:t>
      </w:r>
      <w:proofErr w:type="spellStart"/>
      <w:r w:rsidR="00C664B1" w:rsidRPr="00C664B1">
        <w:rPr>
          <w:rFonts w:ascii="Times New Roman" w:hAnsi="Times New Roman" w:cs="Times New Roman"/>
        </w:rPr>
        <w:t>Theimer</w:t>
      </w:r>
      <w:proofErr w:type="spellEnd"/>
      <w:r w:rsidRPr="00C664B1">
        <w:rPr>
          <w:rFonts w:ascii="Times New Roman" w:hAnsi="Times New Roman" w:cs="Times New Roman"/>
          <w:bCs/>
          <w:sz w:val="24"/>
          <w:szCs w:val="24"/>
        </w:rPr>
        <w:t>; une distribution jugée plus réaliste car tenant compte de la structure interne du plasma, à savoir,</w:t>
      </w:r>
      <w:r w:rsidRPr="00214CE2">
        <w:rPr>
          <w:rFonts w:ascii="Times New Roman" w:hAnsi="Times New Roman" w:cs="Times New Roman"/>
          <w:bCs/>
          <w:sz w:val="24"/>
          <w:szCs w:val="24"/>
        </w:rPr>
        <w:t xml:space="preserve"> plasma partiellement ionisé contenant des neutres, des ions atomiques ou moléculaires, </w:t>
      </w:r>
      <w:r w:rsidR="00C664B1">
        <w:rPr>
          <w:rFonts w:ascii="Times New Roman" w:hAnsi="Times New Roman" w:cs="Times New Roman"/>
          <w:bCs/>
          <w:sz w:val="24"/>
          <w:szCs w:val="24"/>
        </w:rPr>
        <w:t xml:space="preserve">et </w:t>
      </w:r>
      <w:r w:rsidRPr="00214CE2">
        <w:rPr>
          <w:rFonts w:ascii="Times New Roman" w:hAnsi="Times New Roman" w:cs="Times New Roman"/>
          <w:bCs/>
          <w:sz w:val="24"/>
          <w:szCs w:val="24"/>
        </w:rPr>
        <w:t>des électrons libres et liés.</w:t>
      </w:r>
      <w:r>
        <w:rPr>
          <w:rFonts w:ascii="Times New Roman" w:hAnsi="Times New Roman" w:cs="Times New Roman"/>
          <w:bCs/>
          <w:sz w:val="24"/>
          <w:szCs w:val="24"/>
        </w:rPr>
        <w:t xml:space="preserve"> </w:t>
      </w:r>
      <w:r w:rsidRPr="00BC53D8">
        <w:rPr>
          <w:rFonts w:ascii="Times New Roman" w:hAnsi="Times New Roman" w:cs="Times New Roman"/>
          <w:bCs/>
          <w:sz w:val="24"/>
          <w:szCs w:val="24"/>
        </w:rPr>
        <w:t xml:space="preserve">Les vitesses de phase et de groupe dont l’intérêt a été mis en exergue, sont réévaluées à la lumière de la nouvelle relation de dispersion. Il est révélé que le facteur supplémentaire introduit dans la relation de dispersion </w:t>
      </w:r>
      <w:r w:rsidR="00AE0BA9">
        <w:rPr>
          <w:rFonts w:ascii="Times New Roman" w:hAnsi="Times New Roman" w:cs="Times New Roman"/>
          <w:bCs/>
          <w:sz w:val="24"/>
          <w:szCs w:val="24"/>
        </w:rPr>
        <w:t xml:space="preserve">de Bohm-Gross </w:t>
      </w:r>
      <w:r w:rsidRPr="00BC53D8">
        <w:rPr>
          <w:rFonts w:ascii="Times New Roman" w:hAnsi="Times New Roman" w:cs="Times New Roman"/>
          <w:bCs/>
          <w:sz w:val="24"/>
          <w:szCs w:val="24"/>
        </w:rPr>
        <w:t xml:space="preserve">dépend des paramètres fondamentaux caractérisant un plasma, </w:t>
      </w:r>
      <w:proofErr w:type="gramStart"/>
      <w:r w:rsidRPr="00BC53D8">
        <w:rPr>
          <w:rFonts w:ascii="Times New Roman" w:hAnsi="Times New Roman" w:cs="Times New Roman"/>
          <w:bCs/>
          <w:sz w:val="24"/>
          <w:szCs w:val="24"/>
        </w:rPr>
        <w:t>viz.,</w:t>
      </w:r>
      <w:proofErr w:type="gramEnd"/>
      <w:r w:rsidRPr="00BC53D8">
        <w:rPr>
          <w:rFonts w:ascii="Times New Roman" w:hAnsi="Times New Roman" w:cs="Times New Roman"/>
          <w:bCs/>
          <w:sz w:val="24"/>
          <w:szCs w:val="24"/>
        </w:rPr>
        <w:t xml:space="preserve"> la densité n et la température T</w:t>
      </w:r>
      <w:r>
        <w:rPr>
          <w:rFonts w:ascii="Times New Roman" w:hAnsi="Times New Roman" w:cs="Times New Roman"/>
          <w:bCs/>
          <w:sz w:val="24"/>
          <w:szCs w:val="24"/>
        </w:rPr>
        <w:t xml:space="preserve">. </w:t>
      </w:r>
      <w:r w:rsidRPr="00BC53D8">
        <w:rPr>
          <w:rFonts w:ascii="Times New Roman" w:hAnsi="Times New Roman" w:cs="Times New Roman"/>
          <w:bCs/>
          <w:sz w:val="24"/>
          <w:szCs w:val="24"/>
        </w:rPr>
        <w:t>La déviation des grandeurs calculées dans le cas non Maxwellien, par rapport à celles calculées dans le cas Maxwellien, ne devient significative que dans le cas des plasmas denses et froids.</w:t>
      </w:r>
      <w:r>
        <w:rPr>
          <w:rFonts w:ascii="Times New Roman" w:hAnsi="Times New Roman" w:cs="Times New Roman"/>
          <w:bCs/>
          <w:sz w:val="24"/>
          <w:szCs w:val="24"/>
        </w:rPr>
        <w:t xml:space="preserve"> </w:t>
      </w:r>
      <w:r w:rsidR="00AE0BA9">
        <w:rPr>
          <w:rFonts w:ascii="Times New Roman" w:hAnsi="Times New Roman" w:cs="Times New Roman"/>
          <w:bCs/>
          <w:sz w:val="24"/>
          <w:szCs w:val="24"/>
        </w:rPr>
        <w:t>Un type de plasmas nouveaux que l’on appelle plasmas cryogéniques. En accord avec la nouvelle relation de dispersion des ondes de Langmuir, l’atténuation de Landau de ces ondes a été évaluée.</w:t>
      </w:r>
    </w:p>
    <w:p w:rsidR="00AE0BA9" w:rsidRDefault="00AE0BA9" w:rsidP="00AE0BA9">
      <w:pPr>
        <w:tabs>
          <w:tab w:val="right" w:pos="8647"/>
        </w:tabs>
        <w:spacing w:after="0"/>
        <w:ind w:left="284" w:right="425"/>
        <w:jc w:val="both"/>
        <w:rPr>
          <w:rFonts w:ascii="Times New Roman" w:hAnsi="Times New Roman" w:cs="Times New Roman"/>
          <w:bCs/>
          <w:sz w:val="24"/>
          <w:szCs w:val="24"/>
        </w:rPr>
      </w:pPr>
    </w:p>
    <w:p w:rsidR="00AE0BA9" w:rsidRDefault="00AE0BA9" w:rsidP="00AE0BA9">
      <w:pPr>
        <w:tabs>
          <w:tab w:val="right" w:pos="8647"/>
        </w:tabs>
        <w:spacing w:after="0"/>
        <w:ind w:left="284" w:right="425"/>
        <w:jc w:val="both"/>
        <w:rPr>
          <w:rFonts w:ascii="Times New Roman" w:hAnsi="Times New Roman" w:cs="Times New Roman"/>
          <w:bCs/>
          <w:sz w:val="24"/>
          <w:szCs w:val="24"/>
        </w:rPr>
      </w:pPr>
    </w:p>
    <w:p w:rsidR="00AE0BA9" w:rsidRDefault="00AE0BA9" w:rsidP="00AE0BA9">
      <w:pPr>
        <w:tabs>
          <w:tab w:val="right" w:pos="8647"/>
        </w:tabs>
        <w:spacing w:after="0"/>
        <w:ind w:left="284" w:right="425"/>
        <w:jc w:val="both"/>
        <w:rPr>
          <w:rFonts w:ascii="Times New Roman" w:hAnsi="Times New Roman" w:cs="Times New Roman"/>
          <w:sz w:val="24"/>
          <w:szCs w:val="24"/>
        </w:rPr>
      </w:pPr>
    </w:p>
    <w:p w:rsidR="005758FC" w:rsidRPr="001A1506" w:rsidRDefault="005758FC" w:rsidP="00AE0BA9">
      <w:pPr>
        <w:tabs>
          <w:tab w:val="right" w:pos="8647"/>
        </w:tabs>
        <w:spacing w:after="0" w:line="360" w:lineRule="auto"/>
        <w:ind w:left="284" w:right="425"/>
        <w:jc w:val="both"/>
      </w:pPr>
      <w:r w:rsidRPr="008A6A73">
        <w:rPr>
          <w:rFonts w:ascii="Times New Roman" w:hAnsi="Times New Roman" w:cs="Times New Roman"/>
          <w:sz w:val="24"/>
          <w:szCs w:val="24"/>
        </w:rPr>
        <w:t>*Thèse de doctorat</w:t>
      </w:r>
      <w:r w:rsidRPr="001A1506">
        <w:t xml:space="preserve"> </w:t>
      </w:r>
    </w:p>
    <w:p w:rsidR="00D30583" w:rsidRDefault="005758FC" w:rsidP="00AE0BA9">
      <w:pPr>
        <w:tabs>
          <w:tab w:val="right" w:pos="8647"/>
        </w:tabs>
        <w:spacing w:after="0" w:line="360" w:lineRule="auto"/>
        <w:ind w:left="284" w:right="425"/>
        <w:jc w:val="both"/>
      </w:pPr>
      <w:r>
        <w:rPr>
          <w:rFonts w:ascii="Times New Roman" w:hAnsi="Times New Roman" w:cs="Times New Roman"/>
          <w:bCs/>
          <w:sz w:val="24"/>
          <w:szCs w:val="24"/>
        </w:rPr>
        <w:t>**</w:t>
      </w:r>
      <w:r w:rsidRPr="00BC53D8">
        <w:rPr>
          <w:rFonts w:ascii="Times New Roman" w:hAnsi="Times New Roman" w:cs="Times New Roman"/>
          <w:bCs/>
          <w:sz w:val="24"/>
          <w:szCs w:val="24"/>
        </w:rPr>
        <w:t xml:space="preserve"> </w:t>
      </w:r>
      <w:r>
        <w:rPr>
          <w:rFonts w:ascii="Times New Roman" w:hAnsi="Times New Roman" w:cs="Times New Roman"/>
          <w:bCs/>
          <w:sz w:val="24"/>
          <w:szCs w:val="24"/>
        </w:rPr>
        <w:t>Professeur Rachid Annou</w:t>
      </w:r>
      <w:r w:rsidR="00C2072A">
        <w:rPr>
          <w:rFonts w:ascii="Times New Roman" w:hAnsi="Times New Roman" w:cs="Times New Roman"/>
          <w:bCs/>
          <w:sz w:val="24"/>
          <w:szCs w:val="24"/>
        </w:rPr>
        <w:t>, Laboratoire de physique théorique.</w:t>
      </w:r>
    </w:p>
    <w:sectPr w:rsidR="00D30583" w:rsidSect="00AE0BA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38D8" w:rsidRDefault="004938D8" w:rsidP="00AE0BA9">
      <w:pPr>
        <w:spacing w:after="0" w:line="240" w:lineRule="auto"/>
      </w:pPr>
      <w:r>
        <w:separator/>
      </w:r>
    </w:p>
  </w:endnote>
  <w:endnote w:type="continuationSeparator" w:id="0">
    <w:p w:rsidR="004938D8" w:rsidRDefault="004938D8" w:rsidP="00AE0BA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38D8" w:rsidRDefault="004938D8" w:rsidP="00AE0BA9">
      <w:pPr>
        <w:spacing w:after="0" w:line="240" w:lineRule="auto"/>
      </w:pPr>
      <w:r>
        <w:separator/>
      </w:r>
    </w:p>
  </w:footnote>
  <w:footnote w:type="continuationSeparator" w:id="0">
    <w:p w:rsidR="004938D8" w:rsidRDefault="004938D8" w:rsidP="00AE0BA9">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5758FC"/>
    <w:rsid w:val="003B2410"/>
    <w:rsid w:val="0048676C"/>
    <w:rsid w:val="004938D8"/>
    <w:rsid w:val="004E6984"/>
    <w:rsid w:val="005758FC"/>
    <w:rsid w:val="00585D52"/>
    <w:rsid w:val="008C1B93"/>
    <w:rsid w:val="00AE0BA9"/>
    <w:rsid w:val="00AE7A3E"/>
    <w:rsid w:val="00C2072A"/>
    <w:rsid w:val="00C62321"/>
    <w:rsid w:val="00C664B1"/>
    <w:rsid w:val="00CB3AEA"/>
    <w:rsid w:val="00D1264A"/>
    <w:rsid w:val="00D30583"/>
    <w:rsid w:val="00DA1D95"/>
    <w:rsid w:val="00ED4CA5"/>
    <w:rsid w:val="00F30B15"/>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8FC"/>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5758FC"/>
    <w:pPr>
      <w:tabs>
        <w:tab w:val="center" w:pos="4536"/>
        <w:tab w:val="right" w:pos="9072"/>
      </w:tabs>
      <w:spacing w:after="0" w:line="240" w:lineRule="auto"/>
    </w:pPr>
    <w:rPr>
      <w:rFonts w:ascii="Times New Roman" w:eastAsia="Times New Roman" w:hAnsi="Times New Roman" w:cs="Times New Roman"/>
      <w:sz w:val="24"/>
      <w:szCs w:val="24"/>
      <w:lang w:eastAsia="fr-FR"/>
    </w:rPr>
  </w:style>
  <w:style w:type="character" w:customStyle="1" w:styleId="En-tteCar">
    <w:name w:val="En-tête Car"/>
    <w:basedOn w:val="Policepardfaut"/>
    <w:link w:val="En-tte"/>
    <w:uiPriority w:val="99"/>
    <w:rsid w:val="005758FC"/>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AE0BA9"/>
    <w:pPr>
      <w:tabs>
        <w:tab w:val="center" w:pos="4536"/>
        <w:tab w:val="right" w:pos="9072"/>
      </w:tabs>
    </w:pPr>
  </w:style>
  <w:style w:type="character" w:customStyle="1" w:styleId="PieddepageCar">
    <w:name w:val="Pied de page Car"/>
    <w:basedOn w:val="Policepardfaut"/>
    <w:link w:val="Pieddepage"/>
    <w:uiPriority w:val="99"/>
    <w:semiHidden/>
    <w:rsid w:val="00AE0BA9"/>
    <w:rPr>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418</Words>
  <Characters>2305</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 </cp:lastModifiedBy>
  <cp:revision>2</cp:revision>
  <cp:lastPrinted>2012-05-02T13:56:00Z</cp:lastPrinted>
  <dcterms:created xsi:type="dcterms:W3CDTF">2012-11-10T11:13:00Z</dcterms:created>
  <dcterms:modified xsi:type="dcterms:W3CDTF">2012-11-10T11:13:00Z</dcterms:modified>
</cp:coreProperties>
</file>