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0861" w:rsidRDefault="00D20861" w:rsidP="00D20861">
      <w:pPr>
        <w:rPr>
          <w:lang w:bidi="ar-DZ"/>
        </w:rPr>
      </w:pPr>
      <w:r>
        <w:rPr>
          <w:lang w:bidi="ar-DZ"/>
        </w:rPr>
        <w:t>Le Parc National de Chréa, lieu de réalisation de la présente étude, est un milieu caractérisé par une diversité climatique et altitudinale qui se traduit par une diversité floristique, faunistique et paysagère très frappante ; la diversité mycologique y est non négligeable. Cette dernière non seulement mérite mais aussi nécessite une évaluation minutieuse. Il est en effet, nécessaire de connaitre ce patrimoine, d'en tirer profit, de réaliser une liste mycologique propre à l'Algérie ainsi que le font les autres pays, encourager la culture des champignons</w:t>
      </w:r>
      <w:r>
        <w:rPr>
          <w:rFonts w:cs="Arial"/>
          <w:rtl/>
          <w:lang w:bidi="ar-DZ"/>
        </w:rPr>
        <w:t xml:space="preserve">. </w:t>
      </w:r>
    </w:p>
    <w:p w:rsidR="00D20861" w:rsidRDefault="00D20861" w:rsidP="00D20861">
      <w:pPr>
        <w:rPr>
          <w:lang w:bidi="ar-DZ"/>
        </w:rPr>
      </w:pPr>
      <w:r>
        <w:rPr>
          <w:lang w:bidi="ar-DZ"/>
        </w:rPr>
        <w:t xml:space="preserve">Pour cela, nous avons effectué  neuf sorties, du </w:t>
      </w:r>
      <w:r>
        <w:rPr>
          <w:rFonts w:cs="Arial"/>
          <w:rtl/>
          <w:lang w:bidi="ar-DZ"/>
        </w:rPr>
        <w:t xml:space="preserve">20 </w:t>
      </w:r>
      <w:r>
        <w:rPr>
          <w:lang w:bidi="ar-DZ"/>
        </w:rPr>
        <w:t xml:space="preserve">octobre </w:t>
      </w:r>
      <w:r>
        <w:rPr>
          <w:rFonts w:cs="Arial"/>
          <w:rtl/>
          <w:lang w:bidi="ar-DZ"/>
        </w:rPr>
        <w:t xml:space="preserve">2009 </w:t>
      </w:r>
      <w:r>
        <w:rPr>
          <w:lang w:bidi="ar-DZ"/>
        </w:rPr>
        <w:t xml:space="preserve">jusqu'à la mi-mai </w:t>
      </w:r>
      <w:r>
        <w:rPr>
          <w:rFonts w:cs="Arial"/>
          <w:rtl/>
          <w:lang w:bidi="ar-DZ"/>
        </w:rPr>
        <w:t>2010</w:t>
      </w:r>
      <w:r>
        <w:rPr>
          <w:lang w:bidi="ar-DZ"/>
        </w:rPr>
        <w:t>, période de fructification potentielle ; l'on a prospecté sept stations qui appartiennent à deux secteur différents, celui de Chréa et celui d'El-Hamdania</w:t>
      </w:r>
      <w:r>
        <w:rPr>
          <w:rFonts w:cs="Arial"/>
          <w:rtl/>
          <w:lang w:bidi="ar-DZ"/>
        </w:rPr>
        <w:t>.</w:t>
      </w:r>
    </w:p>
    <w:p w:rsidR="00D20861" w:rsidRDefault="00D20861" w:rsidP="00D20861">
      <w:pPr>
        <w:rPr>
          <w:lang w:bidi="ar-DZ"/>
        </w:rPr>
      </w:pPr>
      <w:r>
        <w:rPr>
          <w:lang w:bidi="ar-DZ"/>
        </w:rPr>
        <w:t xml:space="preserve">Le travail que nous présentons a permis de recenser </w:t>
      </w:r>
      <w:r>
        <w:rPr>
          <w:rFonts w:cs="Arial"/>
          <w:rtl/>
          <w:lang w:bidi="ar-DZ"/>
        </w:rPr>
        <w:t xml:space="preserve">64 </w:t>
      </w:r>
      <w:r>
        <w:rPr>
          <w:lang w:bidi="ar-DZ"/>
        </w:rPr>
        <w:t xml:space="preserve">espèces fongiques réparties sur </w:t>
      </w:r>
      <w:r>
        <w:rPr>
          <w:rFonts w:cs="Arial"/>
          <w:rtl/>
          <w:lang w:bidi="ar-DZ"/>
        </w:rPr>
        <w:t xml:space="preserve">18 </w:t>
      </w:r>
      <w:r>
        <w:rPr>
          <w:lang w:bidi="ar-DZ"/>
        </w:rPr>
        <w:t xml:space="preserve">ordres, </w:t>
      </w:r>
      <w:r>
        <w:rPr>
          <w:rFonts w:cs="Arial"/>
          <w:rtl/>
          <w:lang w:bidi="ar-DZ"/>
        </w:rPr>
        <w:t xml:space="preserve">28 </w:t>
      </w:r>
      <w:r>
        <w:rPr>
          <w:lang w:bidi="ar-DZ"/>
        </w:rPr>
        <w:t>familles, de préciser leurs statuts nutritionnels ainsi que l'influence des facteurs écologiques sur leur développement</w:t>
      </w:r>
      <w:r>
        <w:rPr>
          <w:rFonts w:cs="Arial"/>
          <w:rtl/>
          <w:lang w:bidi="ar-DZ"/>
        </w:rPr>
        <w:t xml:space="preserve">. </w:t>
      </w:r>
    </w:p>
    <w:p w:rsidR="00D20861" w:rsidRDefault="00D20861" w:rsidP="00D20861">
      <w:pPr>
        <w:rPr>
          <w:lang w:bidi="ar-DZ"/>
        </w:rPr>
      </w:pPr>
      <w:r>
        <w:rPr>
          <w:lang w:bidi="ar-DZ"/>
        </w:rPr>
        <w:t xml:space="preserve">Leur distribution dans la nature est marquée par un gradient d'humidité qui est généralement lié au recouvrement, à l'amplitude altitudinale,  à l'exposition et aussi à la nature des peuplements forestièrs mis en place. Les résultats ont également permis de préciser leur comestibilité ; ainsi parmi les </w:t>
      </w:r>
      <w:r>
        <w:rPr>
          <w:rFonts w:cs="Arial"/>
          <w:rtl/>
          <w:lang w:bidi="ar-DZ"/>
        </w:rPr>
        <w:t xml:space="preserve">64 </w:t>
      </w:r>
      <w:r>
        <w:rPr>
          <w:lang w:bidi="ar-DZ"/>
        </w:rPr>
        <w:t xml:space="preserve">espèces recensées on en comptabilise </w:t>
      </w:r>
      <w:r>
        <w:rPr>
          <w:rFonts w:cs="Arial"/>
          <w:rtl/>
          <w:lang w:bidi="ar-DZ"/>
        </w:rPr>
        <w:t>20</w:t>
      </w:r>
      <w:r>
        <w:rPr>
          <w:lang w:bidi="ar-DZ"/>
        </w:rPr>
        <w:t xml:space="preserve">, comestibles </w:t>
      </w:r>
      <w:r>
        <w:rPr>
          <w:rFonts w:cs="Arial"/>
          <w:rtl/>
          <w:lang w:bidi="ar-DZ"/>
        </w:rPr>
        <w:t xml:space="preserve">28 </w:t>
      </w:r>
      <w:r>
        <w:rPr>
          <w:lang w:bidi="ar-DZ"/>
        </w:rPr>
        <w:t xml:space="preserve">non comestibles ; </w:t>
      </w:r>
      <w:r>
        <w:rPr>
          <w:rFonts w:cs="Arial"/>
          <w:rtl/>
          <w:lang w:bidi="ar-DZ"/>
        </w:rPr>
        <w:t xml:space="preserve">2 </w:t>
      </w:r>
      <w:r>
        <w:rPr>
          <w:lang w:bidi="ar-DZ"/>
        </w:rPr>
        <w:t xml:space="preserve">espèces sont légèrement toxiques, </w:t>
      </w:r>
      <w:r>
        <w:rPr>
          <w:rFonts w:cs="Arial"/>
          <w:rtl/>
          <w:lang w:bidi="ar-DZ"/>
        </w:rPr>
        <w:t xml:space="preserve">2 </w:t>
      </w:r>
      <w:r>
        <w:rPr>
          <w:lang w:bidi="ar-DZ"/>
        </w:rPr>
        <w:t xml:space="preserve">toxiques et </w:t>
      </w:r>
      <w:r>
        <w:rPr>
          <w:rFonts w:cs="Arial"/>
          <w:rtl/>
          <w:lang w:bidi="ar-DZ"/>
        </w:rPr>
        <w:t xml:space="preserve">10  </w:t>
      </w:r>
      <w:r>
        <w:rPr>
          <w:lang w:bidi="ar-DZ"/>
        </w:rPr>
        <w:t>mortelles</w:t>
      </w:r>
      <w:r>
        <w:rPr>
          <w:rFonts w:cs="Arial"/>
          <w:rtl/>
          <w:lang w:bidi="ar-DZ"/>
        </w:rPr>
        <w:t>.</w:t>
      </w:r>
    </w:p>
    <w:p w:rsidR="00D20861" w:rsidRDefault="00D20861" w:rsidP="00D20861">
      <w:pPr>
        <w:rPr>
          <w:lang w:bidi="ar-DZ"/>
        </w:rPr>
      </w:pPr>
      <w:r>
        <w:rPr>
          <w:lang w:bidi="ar-DZ"/>
        </w:rPr>
        <w:t>Quand à l'état de santé de la zone d'étude, on comptabilise cinq types de mode de vie ; saprophytisme humicole, saprophytisme lignicole, parasitisme, mutualisme et même saprophytisme de litière</w:t>
      </w:r>
      <w:r>
        <w:rPr>
          <w:rFonts w:cs="Arial"/>
          <w:rtl/>
          <w:lang w:bidi="ar-DZ"/>
        </w:rPr>
        <w:t xml:space="preserve">. </w:t>
      </w:r>
    </w:p>
    <w:p w:rsidR="00D20861" w:rsidRDefault="00D20861" w:rsidP="00D20861">
      <w:pPr>
        <w:rPr>
          <w:rtl/>
          <w:lang w:bidi="ar-DZ"/>
        </w:rPr>
      </w:pPr>
    </w:p>
    <w:p w:rsidR="009803E5" w:rsidRDefault="009803E5">
      <w:pPr>
        <w:rPr>
          <w:rFonts w:hint="cs"/>
          <w:lang w:bidi="ar-DZ"/>
        </w:rPr>
      </w:pPr>
    </w:p>
    <w:sectPr w:rsidR="009803E5"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D20861"/>
    <w:rsid w:val="006D5754"/>
    <w:rsid w:val="009803E5"/>
    <w:rsid w:val="00D2086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03E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249</Words>
  <Characters>1425</Characters>
  <Application>Microsoft Office Word</Application>
  <DocSecurity>0</DocSecurity>
  <Lines>11</Lines>
  <Paragraphs>3</Paragraphs>
  <ScaleCrop>false</ScaleCrop>
  <Company/>
  <LinksUpToDate>false</LinksUpToDate>
  <CharactersWithSpaces>1671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2</cp:revision>
  <dcterms:created xsi:type="dcterms:W3CDTF">2015-05-05T08:38:00Z</dcterms:created>
  <dcterms:modified xsi:type="dcterms:W3CDTF">2015-05-05T08:38:00Z</dcterms:modified>
</cp:coreProperties>
</file>