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A97" w:rsidRDefault="00B36A97" w:rsidP="00B36A97">
      <w:r>
        <w:t xml:space="preserve">  Dans la première partie de cette thèse, on utilise la méthode du </w:t>
      </w:r>
      <w:proofErr w:type="spellStart"/>
      <w:r>
        <w:t>Jacobien</w:t>
      </w:r>
      <w:proofErr w:type="spellEnd"/>
      <w:r>
        <w:t xml:space="preserve"> d'Arakawa  et le schéma Essentiellement Non  Oscillant (ENO-4) d'ordre quatre de </w:t>
      </w:r>
      <w:proofErr w:type="spellStart"/>
      <w:r>
        <w:t>Osher</w:t>
      </w:r>
      <w:proofErr w:type="spellEnd"/>
      <w:r>
        <w:t xml:space="preserve"> et </w:t>
      </w:r>
      <w:proofErr w:type="spellStart"/>
      <w:r>
        <w:t>Shu</w:t>
      </w:r>
      <w:proofErr w:type="spellEnd"/>
      <w:r>
        <w:t xml:space="preserve"> pour la résolution numérique des équations </w:t>
      </w:r>
      <w:proofErr w:type="spellStart"/>
      <w:r>
        <w:t>barotropes</w:t>
      </w:r>
      <w:proofErr w:type="spellEnd"/>
      <w:r>
        <w:t xml:space="preserve"> dans le plan bêta  équatorial.  Le </w:t>
      </w:r>
      <w:proofErr w:type="spellStart"/>
      <w:r>
        <w:t>Jacobien</w:t>
      </w:r>
      <w:proofErr w:type="spellEnd"/>
      <w:r>
        <w:t xml:space="preserve"> d'Arakawa est un schéma centré aux différences finis d'ordre deux qui conserve l'énergie et</w:t>
      </w:r>
    </w:p>
    <w:p w:rsidR="00B36A97" w:rsidRDefault="00B36A97" w:rsidP="00B36A97">
      <w:r>
        <w:t xml:space="preserve"> </w:t>
      </w:r>
      <w:proofErr w:type="gramStart"/>
      <w:r>
        <w:t>l'</w:t>
      </w:r>
      <w:proofErr w:type="spellStart"/>
      <w:r>
        <w:t>enstrophie</w:t>
      </w:r>
      <w:proofErr w:type="spellEnd"/>
      <w:proofErr w:type="gramEnd"/>
      <w:r>
        <w:t xml:space="preserve">. Le schéma Essentiellement Non Oscillant d'ordre quatre (ENO-4) est spécifiquement utilisé dans la cadre  des lois de conservation ainsi que la résolution des équations de Hamilton-Jacobi et ce schéma est traditionnellement   utilisé  pour suivre l'évolution du front. </w:t>
      </w:r>
    </w:p>
    <w:p w:rsidR="00B36A97" w:rsidRDefault="00B36A97" w:rsidP="00B36A97">
      <w:r>
        <w:t xml:space="preserve">Nous nous sommes </w:t>
      </w:r>
      <w:proofErr w:type="gramStart"/>
      <w:r>
        <w:t>intéressé</w:t>
      </w:r>
      <w:proofErr w:type="gramEnd"/>
      <w:r>
        <w:t xml:space="preserve">  à la performance de ces deux méthodes pour la résolution des équations </w:t>
      </w:r>
      <w:proofErr w:type="spellStart"/>
      <w:r>
        <w:t>barotropes</w:t>
      </w:r>
      <w:proofErr w:type="spellEnd"/>
      <w:r>
        <w:t xml:space="preserve"> afin  de déterminer si elles sont adéquates pour une étude numérique de l'instabilité </w:t>
      </w:r>
      <w:proofErr w:type="spellStart"/>
      <w:r>
        <w:t>barotrope</w:t>
      </w:r>
      <w:proofErr w:type="spellEnd"/>
      <w:r>
        <w:t xml:space="preserve">. Les deux méthodes sont testées  et comparées sur deux types de solutions exactes, une onde-paquet régulière de </w:t>
      </w:r>
      <w:proofErr w:type="spellStart"/>
      <w:r>
        <w:t>Rossby</w:t>
      </w:r>
      <w:proofErr w:type="spellEnd"/>
      <w:r>
        <w:t xml:space="preserve"> et un cisaillement du vent discontinu, sur une longue période à  l'échelle de climat de 100 jours. Les résultats numériques montrent que la méthode du </w:t>
      </w:r>
      <w:proofErr w:type="spellStart"/>
      <w:r>
        <w:t>Jacobien</w:t>
      </w:r>
      <w:proofErr w:type="spellEnd"/>
      <w:r>
        <w:t xml:space="preserve"> d'Arakawa conserve l'énergie et l'</w:t>
      </w:r>
      <w:proofErr w:type="spellStart"/>
      <w:r>
        <w:t>enstrophie</w:t>
      </w:r>
      <w:proofErr w:type="spellEnd"/>
      <w:r>
        <w:t xml:space="preserve"> presque exactement. En particulier, elle capte la vitesse de phase de l'onde de </w:t>
      </w:r>
      <w:proofErr w:type="spellStart"/>
      <w:r>
        <w:t>Rossby</w:t>
      </w:r>
      <w:proofErr w:type="spellEnd"/>
      <w:r>
        <w:t xml:space="preserve"> et converge vers la solution exacte avec un ordre de précision qui égale à deux dans les deux cas. Les mêmes propriétés sont conservées par le schéma ENO-4. Toute fois l'ordre quatre de précision est obtenu pour la solution régulière de l'onde de </w:t>
      </w:r>
      <w:proofErr w:type="spellStart"/>
      <w:r>
        <w:t>Rossby</w:t>
      </w:r>
      <w:proofErr w:type="spellEnd"/>
      <w:r>
        <w:t xml:space="preserve">, alors que dans le cas de cisaillement du vent discontinu l'ordre de précision obtenu est de trois. </w:t>
      </w:r>
    </w:p>
    <w:p w:rsidR="00B36A97" w:rsidRDefault="00B36A97" w:rsidP="00B36A97"/>
    <w:p w:rsidR="00B36A97" w:rsidRDefault="00B36A97" w:rsidP="00B36A97">
      <w:r>
        <w:t xml:space="preserve">Dans la deuxième partie, l'investigation de l'instabilité </w:t>
      </w:r>
      <w:proofErr w:type="spellStart"/>
      <w:r>
        <w:t>barotrope</w:t>
      </w:r>
      <w:proofErr w:type="spellEnd"/>
      <w:r>
        <w:t xml:space="preserve"> de cisaillement du vent horizontal a était étudiée en  utilisant les deux méthodes mentionnées ci-dessus. Nous nous sommes intéressés à la performance de ces deux  méthodes en étudiant l'évolution de l'instabilité pour une longue durée sous l'effet de la non-linéarité, dans le cas simple</w:t>
      </w:r>
    </w:p>
    <w:p w:rsidR="00B36A97" w:rsidRDefault="00B36A97" w:rsidP="00B36A97">
      <w:r>
        <w:t xml:space="preserve"> </w:t>
      </w:r>
      <w:proofErr w:type="gramStart"/>
      <w:r>
        <w:t>du</w:t>
      </w:r>
      <w:proofErr w:type="gramEnd"/>
      <w:r>
        <w:t xml:space="preserve"> profile de Helmholtz. Le problème linéaire associé est résolu analytiquement et la solution linéaire obtenue est utilisée  comme condition initiale pour les simulations numériques ultérieures. On effectue une série de simulations numériques en</w:t>
      </w:r>
    </w:p>
    <w:p w:rsidR="00B36A97" w:rsidRDefault="00B36A97" w:rsidP="00B36A97">
      <w:proofErr w:type="gramStart"/>
      <w:r>
        <w:t>utilisant</w:t>
      </w:r>
      <w:proofErr w:type="gramEnd"/>
      <w:r>
        <w:t xml:space="preserve"> les deux méthodes avec différente grilles et avec deux amplitudes différentes pour la perturbation initiale. Un  terme de viscosité est ajouté dans l'équation de </w:t>
      </w:r>
      <w:proofErr w:type="spellStart"/>
      <w:r>
        <w:t>vorticité</w:t>
      </w:r>
      <w:proofErr w:type="spellEnd"/>
      <w:r>
        <w:t xml:space="preserve"> pour amortir les ondes à l'échelle de grille pour la méthode  d'Arakawa. Ceci n'est pas nécessaire pour le schéma d'ordre supérieure ENO-4 qui a sa propre dissipation à l'échelle  de grille. A haute résolution, les deux méthodes sont en bon accord; elles convergent qualitativement et quantitativement  vers la même solution à long terme. Pour les petites perturbations l'écoulement total se stabilise dans un état stationnaire  de cisaillement méridien avec un profile lisse près de l'équateur tandis que pour les grandes perturbations, les vortex se</w:t>
      </w:r>
    </w:p>
    <w:p w:rsidR="00B36A97" w:rsidRDefault="00B36A97" w:rsidP="00B36A97">
      <w:r>
        <w:t xml:space="preserve"> fusionnent entre eux pour former un seul vortex à grande échelle qui se propage vers l'ouest, le long de l'équateur, qui est  compatible avec les ondes d'est africaines et la circulation des moussons creusent. Pour la résolution grossière, la </w:t>
      </w:r>
    </w:p>
    <w:p w:rsidR="00B36A97" w:rsidRDefault="00B36A97" w:rsidP="00B36A97">
      <w:r>
        <w:t xml:space="preserve">méthode </w:t>
      </w:r>
      <w:proofErr w:type="gramStart"/>
      <w:r>
        <w:t>d' Arakawa</w:t>
      </w:r>
      <w:proofErr w:type="gramEnd"/>
      <w:r>
        <w:t xml:space="preserve"> semble être plus performante que le schéma ENO-4 car elle fournit des solutions qui sont plus</w:t>
      </w:r>
    </w:p>
    <w:p w:rsidR="00B36A97" w:rsidRDefault="00B36A97" w:rsidP="00B36A97">
      <w:r>
        <w:lastRenderedPageBreak/>
        <w:t xml:space="preserve"> </w:t>
      </w:r>
      <w:proofErr w:type="gramStart"/>
      <w:r>
        <w:t>compatibles</w:t>
      </w:r>
      <w:proofErr w:type="gramEnd"/>
      <w:r>
        <w:t xml:space="preserve"> avec la résolution fine.</w:t>
      </w:r>
    </w:p>
    <w:p w:rsidR="0054551D" w:rsidRDefault="0054551D"/>
    <w:sectPr w:rsidR="0054551D" w:rsidSect="0054551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36A97"/>
    <w:rsid w:val="0054551D"/>
    <w:rsid w:val="00B36A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51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2838</Characters>
  <Application>Microsoft Office Word</Application>
  <DocSecurity>0</DocSecurity>
  <Lines>23</Lines>
  <Paragraphs>6</Paragraphs>
  <ScaleCrop>false</ScaleCrop>
  <Company/>
  <LinksUpToDate>false</LinksUpToDate>
  <CharactersWithSpaces>3347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2014-12-08T09:00:00Z</dcterms:created>
  <dcterms:modified xsi:type="dcterms:W3CDTF">2014-12-08T09:01:00Z</dcterms:modified>
</cp:coreProperties>
</file>