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9C3" w:rsidRPr="00B839C3" w:rsidRDefault="00B839C3" w:rsidP="00B839C3">
      <w:pPr>
        <w:spacing w:line="360" w:lineRule="auto"/>
        <w:jc w:val="center"/>
        <w:rPr>
          <w:rFonts w:asciiTheme="majorBidi" w:hAnsiTheme="majorBidi" w:cstheme="majorBidi"/>
          <w:b/>
          <w:bCs/>
        </w:rPr>
      </w:pPr>
      <w:r w:rsidRPr="00B839C3">
        <w:rPr>
          <w:rFonts w:asciiTheme="majorBidi" w:hAnsiTheme="majorBidi" w:cstheme="majorBidi"/>
          <w:b/>
          <w:bCs/>
        </w:rPr>
        <w:t>Résumé</w:t>
      </w:r>
    </w:p>
    <w:p w:rsidR="00B839C3" w:rsidRPr="00B839C3" w:rsidRDefault="00B839C3" w:rsidP="00B839C3">
      <w:pPr>
        <w:spacing w:line="360" w:lineRule="auto"/>
        <w:jc w:val="both"/>
        <w:rPr>
          <w:rFonts w:asciiTheme="majorBidi" w:hAnsiTheme="majorBidi" w:cstheme="majorBidi"/>
        </w:rPr>
      </w:pPr>
      <w:r w:rsidRPr="00B839C3">
        <w:rPr>
          <w:rFonts w:asciiTheme="majorBidi" w:hAnsiTheme="majorBidi" w:cstheme="majorBidi"/>
        </w:rPr>
        <w:t xml:space="preserve">La maîtrise des phénomènes d’interface solide-liquide gouverne le choix des meilleures techniques de récupération assistée des hydrocarbures. Pour un exploitant, une roche pétrolière mouillable à l’eau est une situation idéale pour pouvoir récupérer le maximum d’hydrocarbures. </w:t>
      </w:r>
      <w:r w:rsidRPr="00B839C3">
        <w:rPr>
          <w:rFonts w:ascii="Times New Roman" w:hAnsi="Times New Roman" w:cs="Times New Roman"/>
        </w:rPr>
        <w:t xml:space="preserve">Cependant la roche de réservoir de pétrole est un solide de surface fortement énergétique, très poreuse et un grand rapport surface/volume. Elle peut adsorber fortement des molécules polaires telles que les tensioactifs et les polymères utilisés durant le forage. L’interaction entre les boues de forage et la roche de réservoir peut entraîner des changements significatifs dans la mouillabilité et la perméabilité et conduire à une réduction importante dans la productivité d’un puits de pétrole. </w:t>
      </w:r>
      <w:r w:rsidRPr="00B839C3">
        <w:rPr>
          <w:rFonts w:asciiTheme="majorBidi" w:hAnsiTheme="majorBidi" w:cstheme="majorBidi"/>
          <w:lang w:val="fr-CA"/>
        </w:rPr>
        <w:t>Ces interactions sont de natures physiques et chimiques, et déterminent l'énergie de formation d'une unité de surface d'interface. Par conséquent, la caractérisation de l’énergie de surface est essentielle pour la  compréhension des propriétés de mouillabilité de la roche de réservoir de pétrole.</w:t>
      </w:r>
    </w:p>
    <w:p w:rsidR="00B839C3" w:rsidRPr="00B839C3" w:rsidRDefault="00B839C3" w:rsidP="00B839C3">
      <w:pPr>
        <w:autoSpaceDE w:val="0"/>
        <w:autoSpaceDN w:val="0"/>
        <w:adjustRightInd w:val="0"/>
        <w:spacing w:after="0" w:line="360" w:lineRule="auto"/>
        <w:jc w:val="both"/>
        <w:rPr>
          <w:rFonts w:asciiTheme="majorBidi" w:hAnsiTheme="majorBidi" w:cstheme="majorBidi"/>
        </w:rPr>
      </w:pPr>
      <w:r w:rsidRPr="00B839C3">
        <w:rPr>
          <w:rFonts w:asciiTheme="majorBidi" w:hAnsiTheme="majorBidi" w:cstheme="majorBidi"/>
        </w:rPr>
        <w:t xml:space="preserve">Dans cette étude quatre roches pétrolières, provenant de quatre puits différents situés dans la région de </w:t>
      </w:r>
      <w:proofErr w:type="spellStart"/>
      <w:r w:rsidRPr="00B839C3">
        <w:rPr>
          <w:rFonts w:asciiTheme="majorBidi" w:hAnsiTheme="majorBidi" w:cstheme="majorBidi"/>
        </w:rPr>
        <w:t>Hassi</w:t>
      </w:r>
      <w:proofErr w:type="spellEnd"/>
      <w:r w:rsidRPr="00B839C3">
        <w:rPr>
          <w:rFonts w:asciiTheme="majorBidi" w:hAnsiTheme="majorBidi" w:cstheme="majorBidi"/>
        </w:rPr>
        <w:t xml:space="preserve"> </w:t>
      </w:r>
      <w:proofErr w:type="spellStart"/>
      <w:r w:rsidRPr="00B839C3">
        <w:rPr>
          <w:rFonts w:asciiTheme="majorBidi" w:hAnsiTheme="majorBidi" w:cstheme="majorBidi"/>
        </w:rPr>
        <w:t>Messaoud</w:t>
      </w:r>
      <w:proofErr w:type="spellEnd"/>
      <w:r w:rsidRPr="00B839C3">
        <w:rPr>
          <w:rFonts w:asciiTheme="majorBidi" w:hAnsiTheme="majorBidi" w:cstheme="majorBidi"/>
        </w:rPr>
        <w:t>, ont été caractérisées par deux techniques ; la chromatographie gazeuse inverse (CGI), et la technique de mesure de l’angle de contact (goutte posée).</w:t>
      </w:r>
    </w:p>
    <w:p w:rsidR="00B839C3" w:rsidRPr="00B839C3" w:rsidRDefault="00B839C3" w:rsidP="00B839C3">
      <w:pPr>
        <w:autoSpaceDE w:val="0"/>
        <w:autoSpaceDN w:val="0"/>
        <w:adjustRightInd w:val="0"/>
        <w:spacing w:after="0" w:line="360" w:lineRule="auto"/>
        <w:jc w:val="both"/>
        <w:rPr>
          <w:rFonts w:asciiTheme="majorBidi" w:hAnsiTheme="majorBidi" w:cstheme="majorBidi"/>
          <w:color w:val="000000"/>
        </w:rPr>
      </w:pPr>
      <w:r w:rsidRPr="00B839C3">
        <w:rPr>
          <w:rFonts w:asciiTheme="majorBidi" w:hAnsiTheme="majorBidi" w:cstheme="majorBidi"/>
          <w:color w:val="000000"/>
        </w:rPr>
        <w:t xml:space="preserve">La chromatographie gazeuse inverse (CGI) a permis de rendre compte des changements susceptibles de s’opérer au niveau de la surface des échantillons sous l’effet d’une imprégnation contrôlée par des additifs utilisés pour la préparation des boues de forage. La CGI à dilution infinie a permis d'accéder à : la composante dispersive de l'énergie de </w:t>
      </w:r>
      <w:proofErr w:type="gramStart"/>
      <w:r w:rsidRPr="00B839C3">
        <w:rPr>
          <w:rFonts w:asciiTheme="majorBidi" w:hAnsiTheme="majorBidi" w:cstheme="majorBidi"/>
          <w:color w:val="000000"/>
        </w:rPr>
        <w:t xml:space="preserve">surface </w:t>
      </w:r>
      <m:oMath>
        <w:proofErr w:type="gramEnd"/>
        <m:sSubSup>
          <m:sSubSupPr>
            <m:ctrlPr>
              <w:rPr>
                <w:rFonts w:ascii="Cambria Math" w:hAnsi="Cambria Math" w:cstheme="majorBidi"/>
                <w:i/>
                <w:color w:val="000000"/>
              </w:rPr>
            </m:ctrlPr>
          </m:sSubSupPr>
          <m:e>
            <m:r>
              <w:rPr>
                <w:rFonts w:ascii="Cambria Math" w:hAnsi="Cambria Math" w:cstheme="majorBidi"/>
                <w:color w:val="000000"/>
              </w:rPr>
              <m:t>γ</m:t>
            </m:r>
          </m:e>
          <m:sub>
            <m:r>
              <w:rPr>
                <w:rFonts w:ascii="Cambria Math" w:hAnsi="Cambria Math" w:cstheme="majorBidi"/>
                <w:color w:val="000000"/>
              </w:rPr>
              <m:t>s</m:t>
            </m:r>
          </m:sub>
          <m:sup>
            <m:r>
              <w:rPr>
                <w:rFonts w:ascii="Cambria Math" w:hAnsi="Cambria Math" w:cstheme="majorBidi"/>
                <w:color w:val="000000"/>
              </w:rPr>
              <m:t>d</m:t>
            </m:r>
          </m:sup>
        </m:sSubSup>
      </m:oMath>
      <w:r w:rsidRPr="00B839C3">
        <w:rPr>
          <w:rFonts w:asciiTheme="majorBidi" w:hAnsiTheme="majorBidi" w:cstheme="majorBidi"/>
          <w:color w:val="000000"/>
        </w:rPr>
        <w:t>, la composante spécifique (</w:t>
      </w:r>
      <m:oMath>
        <m:sSub>
          <m:sSubPr>
            <m:ctrlPr>
              <w:rPr>
                <w:rFonts w:ascii="Cambria Math" w:hAnsi="Cambria Math" w:cstheme="majorBidi"/>
                <w:i/>
                <w:color w:val="000000"/>
              </w:rPr>
            </m:ctrlPr>
          </m:sSubPr>
          <m:e>
            <m:r>
              <w:rPr>
                <w:rFonts w:ascii="Cambria Math" w:hAnsi="Cambria Math" w:cstheme="majorBidi"/>
                <w:color w:val="000000"/>
              </w:rPr>
              <m:t>I</m:t>
            </m:r>
          </m:e>
          <m:sub>
            <m:r>
              <w:rPr>
                <w:rFonts w:ascii="Cambria Math" w:hAnsi="Cambria Math" w:cstheme="majorBidi"/>
                <w:color w:val="000000"/>
              </w:rPr>
              <m:t>SP</m:t>
            </m:r>
          </m:sub>
        </m:sSub>
      </m:oMath>
      <w:r w:rsidRPr="00B839C3">
        <w:rPr>
          <w:rFonts w:asciiTheme="majorBidi" w:hAnsiTheme="majorBidi" w:cstheme="majorBidi"/>
          <w:color w:val="000000"/>
        </w:rPr>
        <w:t xml:space="preserve">), et à l’indice de </w:t>
      </w:r>
      <w:proofErr w:type="spellStart"/>
      <w:r w:rsidRPr="00B839C3">
        <w:rPr>
          <w:rFonts w:asciiTheme="majorBidi" w:hAnsiTheme="majorBidi" w:cstheme="majorBidi"/>
          <w:color w:val="000000"/>
        </w:rPr>
        <w:t>nanomorphologie</w:t>
      </w:r>
      <w:proofErr w:type="spellEnd"/>
      <w:r w:rsidRPr="00B839C3">
        <w:rPr>
          <w:rFonts w:asciiTheme="majorBidi" w:hAnsiTheme="majorBidi" w:cstheme="majorBidi"/>
          <w:color w:val="000000"/>
        </w:rPr>
        <w:t xml:space="preserve"> </w:t>
      </w:r>
      <w:r w:rsidRPr="00B839C3">
        <w:rPr>
          <w:rFonts w:asciiTheme="majorBidi" w:hAnsiTheme="majorBidi" w:cstheme="majorBidi"/>
          <w:i/>
          <w:iCs/>
          <w:color w:val="000000"/>
        </w:rPr>
        <w:t>I</w:t>
      </w:r>
      <w:r w:rsidRPr="00B839C3">
        <w:rPr>
          <w:rFonts w:asciiTheme="majorBidi" w:hAnsiTheme="majorBidi" w:cstheme="majorBidi"/>
          <w:i/>
          <w:iCs/>
          <w:color w:val="000000"/>
          <w:vertAlign w:val="subscript"/>
        </w:rPr>
        <w:t>M</w:t>
      </w:r>
      <w:r w:rsidRPr="00B839C3">
        <w:rPr>
          <w:rFonts w:asciiTheme="majorBidi" w:hAnsiTheme="majorBidi" w:cstheme="majorBidi"/>
          <w:i/>
          <w:iCs/>
          <w:color w:val="000000"/>
        </w:rPr>
        <w:t xml:space="preserve"> </w:t>
      </w:r>
      <w:r w:rsidRPr="00B839C3">
        <w:rPr>
          <w:rFonts w:asciiTheme="majorBidi" w:hAnsiTheme="majorBidi" w:cstheme="majorBidi"/>
          <w:color w:val="000000"/>
        </w:rPr>
        <w:t>(</w:t>
      </w:r>
      <w:proofErr w:type="spellStart"/>
      <w:r w:rsidRPr="00B839C3">
        <w:rPr>
          <w:rFonts w:asciiTheme="majorBidi" w:hAnsiTheme="majorBidi" w:cstheme="majorBidi"/>
          <w:color w:val="000000"/>
        </w:rPr>
        <w:t>χ</w:t>
      </w:r>
      <w:r w:rsidRPr="00B839C3">
        <w:rPr>
          <w:rFonts w:asciiTheme="majorBidi" w:hAnsiTheme="majorBidi" w:cstheme="majorBidi"/>
          <w:color w:val="000000"/>
          <w:vertAlign w:val="subscript"/>
        </w:rPr>
        <w:t>t</w:t>
      </w:r>
      <w:proofErr w:type="spellEnd"/>
      <w:r w:rsidRPr="00B839C3">
        <w:rPr>
          <w:rFonts w:asciiTheme="majorBidi" w:hAnsiTheme="majorBidi" w:cstheme="majorBidi"/>
          <w:color w:val="000000"/>
        </w:rPr>
        <w:t>). Ces grandeurs donnent des informations sur la morphologie et la chimie de surface du solide à l'échelle de la sonde injectée. La CGI à concentration finie a permis une connaissance plus complète de l’hétérogénéité de surface du solide sous la forme d’une fonction de distribution en énergie des sites d’adsorption, fonction dépendant de la nature de la molécule sonde et de sa capacité à identifier les différents sites d’adsorption présents à la surface du solide.</w:t>
      </w:r>
    </w:p>
    <w:p w:rsidR="00B839C3" w:rsidRPr="00B839C3" w:rsidRDefault="00B839C3" w:rsidP="00B839C3">
      <w:pPr>
        <w:spacing w:line="360" w:lineRule="auto"/>
        <w:jc w:val="both"/>
        <w:rPr>
          <w:rFonts w:asciiTheme="majorBidi" w:hAnsiTheme="majorBidi" w:cstheme="majorBidi"/>
        </w:rPr>
      </w:pPr>
      <w:r w:rsidRPr="00B839C3">
        <w:rPr>
          <w:rFonts w:asciiTheme="majorBidi" w:hAnsiTheme="majorBidi" w:cstheme="majorBidi"/>
        </w:rPr>
        <w:t>Par application de la technique de mesure de l’angle de contact (goutte posée) la mouillabilité de la roche de réservoir de pétrole a été estimée à travers un indice de mouillabilité I</w:t>
      </w:r>
      <w:r w:rsidRPr="00B839C3">
        <w:rPr>
          <w:rFonts w:asciiTheme="majorBidi" w:hAnsiTheme="majorBidi" w:cstheme="majorBidi"/>
          <w:vertAlign w:val="subscript"/>
        </w:rPr>
        <w:t>W</w:t>
      </w:r>
      <w:r w:rsidRPr="00B839C3">
        <w:rPr>
          <w:rFonts w:asciiTheme="majorBidi" w:hAnsiTheme="majorBidi" w:cstheme="majorBidi"/>
        </w:rPr>
        <w:t>, les résultats obtenus montrent que l’ajout du tensioactif utilisé pour la préparation des boues de forage, rend la surface de la roche de réservoir plus mouillable aux hydrocarbures, ce qui confirme le phénomène de l’inversion de la mouillabilité observé au cours du forage.</w:t>
      </w:r>
    </w:p>
    <w:sectPr w:rsidR="00B839C3" w:rsidRPr="00B839C3" w:rsidSect="0003150F">
      <w:pgSz w:w="12240" w:h="15840"/>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B839C3"/>
    <w:rsid w:val="0003150F"/>
    <w:rsid w:val="00071D7E"/>
    <w:rsid w:val="00117078"/>
    <w:rsid w:val="00143CB3"/>
    <w:rsid w:val="00147C60"/>
    <w:rsid w:val="001E3B67"/>
    <w:rsid w:val="001E44CC"/>
    <w:rsid w:val="00213D15"/>
    <w:rsid w:val="00214EEC"/>
    <w:rsid w:val="002D36C5"/>
    <w:rsid w:val="00302CDC"/>
    <w:rsid w:val="00337B63"/>
    <w:rsid w:val="00374BD5"/>
    <w:rsid w:val="004B733E"/>
    <w:rsid w:val="004C5CCE"/>
    <w:rsid w:val="00541222"/>
    <w:rsid w:val="005439DE"/>
    <w:rsid w:val="00587C51"/>
    <w:rsid w:val="005A2155"/>
    <w:rsid w:val="00631731"/>
    <w:rsid w:val="006A6CCC"/>
    <w:rsid w:val="006F59EA"/>
    <w:rsid w:val="007020BC"/>
    <w:rsid w:val="00710ABA"/>
    <w:rsid w:val="00720DDF"/>
    <w:rsid w:val="00754D0A"/>
    <w:rsid w:val="007E1F2E"/>
    <w:rsid w:val="00804DE9"/>
    <w:rsid w:val="00844A13"/>
    <w:rsid w:val="00854AA7"/>
    <w:rsid w:val="008B2AA7"/>
    <w:rsid w:val="008E2AA5"/>
    <w:rsid w:val="008F7EC8"/>
    <w:rsid w:val="00943E51"/>
    <w:rsid w:val="0095448C"/>
    <w:rsid w:val="00954B68"/>
    <w:rsid w:val="0095628F"/>
    <w:rsid w:val="00A0031B"/>
    <w:rsid w:val="00A10340"/>
    <w:rsid w:val="00A130F4"/>
    <w:rsid w:val="00AB70A8"/>
    <w:rsid w:val="00AC5FCA"/>
    <w:rsid w:val="00AF6BD2"/>
    <w:rsid w:val="00B474BA"/>
    <w:rsid w:val="00B71573"/>
    <w:rsid w:val="00B75D3F"/>
    <w:rsid w:val="00B81BC6"/>
    <w:rsid w:val="00B839C3"/>
    <w:rsid w:val="00BA2AD2"/>
    <w:rsid w:val="00BB1B45"/>
    <w:rsid w:val="00BD18DB"/>
    <w:rsid w:val="00C91D46"/>
    <w:rsid w:val="00C94425"/>
    <w:rsid w:val="00CE63B7"/>
    <w:rsid w:val="00D062CC"/>
    <w:rsid w:val="00DE43BA"/>
    <w:rsid w:val="00DF2BDB"/>
    <w:rsid w:val="00DF4CD7"/>
    <w:rsid w:val="00E21529"/>
    <w:rsid w:val="00EB668B"/>
    <w:rsid w:val="00F65053"/>
    <w:rsid w:val="00F766D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9C3"/>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839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839C3"/>
    <w:rPr>
      <w:rFonts w:ascii="Tahoma" w:hAnsi="Tahoma" w:cs="Tahoma"/>
      <w:sz w:val="16"/>
      <w:szCs w:val="16"/>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419</Words>
  <Characters>2310</Characters>
  <Application>Microsoft Office Word</Application>
  <DocSecurity>0</DocSecurity>
  <Lines>19</Lines>
  <Paragraphs>5</Paragraphs>
  <ScaleCrop>false</ScaleCrop>
  <Company/>
  <LinksUpToDate>false</LinksUpToDate>
  <CharactersWithSpaces>2724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khiro le chimiste</dc:creator>
  <cp:keywords/>
  <dc:description/>
  <cp:lastModifiedBy>naima</cp:lastModifiedBy>
  <cp:revision>6</cp:revision>
  <dcterms:created xsi:type="dcterms:W3CDTF">2017-02-05T11:05:00Z</dcterms:created>
  <dcterms:modified xsi:type="dcterms:W3CDTF">2017-06-11T10:35:00Z</dcterms:modified>
</cp:coreProperties>
</file>