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E0A" w:rsidRDefault="00901442">
      <w:r>
        <w:rPr>
          <w:rFonts w:ascii="Times New Roman" w:hAnsi="Times New Roman" w:cs="Times New Roman"/>
          <w:sz w:val="24"/>
          <w:szCs w:val="24"/>
        </w:rPr>
        <w:t>Le but de ce travail est de faire une comparaison entre quatre configurations d’un échangeur de chaleur à double enveloppe où l’on peux déplacer l’entrée ainsi que la sortie du fluide caloporteur provenant d’un collecteur solaire qui fournie de la chaleur au fluide froid à partir d’une paroi séparatrice, où on s’intéresse à l’étude de ce phénomène du transfert thermique dans cette zone ainsi que la stratification thermique de la cuve de stockage</w:t>
      </w:r>
    </w:p>
    <w:sectPr w:rsidR="00867E0A" w:rsidSect="00867E0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1442"/>
    <w:rsid w:val="00867E0A"/>
    <w:rsid w:val="009014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7E0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381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2015-01-13T11:41:00Z</dcterms:created>
  <dcterms:modified xsi:type="dcterms:W3CDTF">2015-01-13T11:41:00Z</dcterms:modified>
</cp:coreProperties>
</file>