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804EE" w:rsidRPr="00103B41" w:rsidRDefault="007804EE" w:rsidP="007804EE">
      <w:pPr>
        <w:spacing w:line="360" w:lineRule="auto"/>
        <w:jc w:val="both"/>
        <w:rPr>
          <w:rFonts w:ascii="Times New Roman" w:hAnsi="Times New Roman" w:cs="Times New Roman"/>
          <w:b/>
          <w:sz w:val="24"/>
          <w:szCs w:val="24"/>
        </w:rPr>
      </w:pPr>
      <w:r w:rsidRPr="00103B41">
        <w:rPr>
          <w:rFonts w:ascii="Times New Roman" w:hAnsi="Times New Roman" w:cs="Times New Roman"/>
          <w:b/>
          <w:sz w:val="32"/>
          <w:szCs w:val="32"/>
          <w:u w:val="single"/>
        </w:rPr>
        <w:t>Résumé</w:t>
      </w:r>
      <w:r w:rsidR="00103B41" w:rsidRPr="00103B41">
        <w:rPr>
          <w:rFonts w:ascii="Times New Roman" w:hAnsi="Times New Roman" w:cs="Times New Roman"/>
          <w:b/>
          <w:sz w:val="24"/>
          <w:szCs w:val="24"/>
        </w:rPr>
        <w:t> :</w:t>
      </w:r>
      <w:r w:rsidRPr="00103B41">
        <w:rPr>
          <w:rFonts w:ascii="Times New Roman" w:hAnsi="Times New Roman" w:cs="Times New Roman"/>
          <w:b/>
          <w:sz w:val="24"/>
          <w:szCs w:val="24"/>
        </w:rPr>
        <w:t xml:space="preserve"> </w:t>
      </w:r>
    </w:p>
    <w:p w:rsidR="007804EE" w:rsidRDefault="007804EE" w:rsidP="007804EE">
      <w:pPr>
        <w:tabs>
          <w:tab w:val="left" w:pos="238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Le présent travail s’articule autour de deux axes, l’un porte sur la valorisation </w:t>
      </w:r>
      <w:proofErr w:type="spellStart"/>
      <w:r>
        <w:rPr>
          <w:rFonts w:ascii="Times New Roman" w:hAnsi="Times New Roman" w:cs="Times New Roman"/>
          <w:sz w:val="24"/>
          <w:szCs w:val="24"/>
        </w:rPr>
        <w:t>phytochimique</w:t>
      </w:r>
      <w:proofErr w:type="spellEnd"/>
      <w:r>
        <w:rPr>
          <w:rFonts w:ascii="Times New Roman" w:hAnsi="Times New Roman" w:cs="Times New Roman"/>
          <w:sz w:val="24"/>
          <w:szCs w:val="24"/>
        </w:rPr>
        <w:t xml:space="preserve"> de la poudre du gingembre (</w:t>
      </w:r>
      <w:proofErr w:type="spellStart"/>
      <w:r>
        <w:rPr>
          <w:rFonts w:ascii="Times New Roman" w:hAnsi="Times New Roman" w:cs="Times New Roman"/>
          <w:i/>
          <w:sz w:val="24"/>
          <w:szCs w:val="24"/>
        </w:rPr>
        <w:t>Zingiber</w:t>
      </w:r>
      <w:proofErr w:type="spellEnd"/>
      <w:r>
        <w:rPr>
          <w:rFonts w:ascii="Times New Roman" w:hAnsi="Times New Roman" w:cs="Times New Roman"/>
          <w:i/>
          <w:sz w:val="24"/>
          <w:szCs w:val="24"/>
        </w:rPr>
        <w:t xml:space="preserve"> officinale</w:t>
      </w:r>
      <w:r>
        <w:rPr>
          <w:rFonts w:ascii="Times New Roman" w:hAnsi="Times New Roman" w:cs="Times New Roman"/>
          <w:sz w:val="24"/>
          <w:szCs w:val="24"/>
        </w:rPr>
        <w:t xml:space="preserve">) , plante traditionnellement utilisée dans le traitement des troubles </w:t>
      </w:r>
      <w:proofErr w:type="spellStart"/>
      <w:r>
        <w:rPr>
          <w:rFonts w:ascii="Times New Roman" w:hAnsi="Times New Roman" w:cs="Times New Roman"/>
          <w:sz w:val="24"/>
          <w:szCs w:val="24"/>
        </w:rPr>
        <w:t>gastrointestinaux</w:t>
      </w:r>
      <w:proofErr w:type="spellEnd"/>
      <w:r>
        <w:rPr>
          <w:rFonts w:ascii="Times New Roman" w:hAnsi="Times New Roman" w:cs="Times New Roman"/>
          <w:sz w:val="24"/>
          <w:szCs w:val="24"/>
        </w:rPr>
        <w:t xml:space="preserve">, et l’autre sur la mise en évidence </w:t>
      </w:r>
      <w:r>
        <w:rPr>
          <w:rFonts w:ascii="Times New Roman" w:hAnsi="Times New Roman" w:cs="Times New Roman"/>
          <w:i/>
          <w:sz w:val="24"/>
          <w:szCs w:val="24"/>
        </w:rPr>
        <w:t>in vivo</w:t>
      </w:r>
      <w:r>
        <w:rPr>
          <w:rFonts w:ascii="Times New Roman" w:hAnsi="Times New Roman" w:cs="Times New Roman"/>
          <w:sz w:val="24"/>
          <w:szCs w:val="24"/>
        </w:rPr>
        <w:t xml:space="preserve"> de l’activité </w:t>
      </w:r>
      <w:proofErr w:type="spellStart"/>
      <w:r>
        <w:rPr>
          <w:rFonts w:ascii="Times New Roman" w:hAnsi="Times New Roman" w:cs="Times New Roman"/>
          <w:sz w:val="24"/>
          <w:szCs w:val="24"/>
        </w:rPr>
        <w:t>gastroprotective</w:t>
      </w:r>
      <w:proofErr w:type="spellEnd"/>
      <w:r>
        <w:rPr>
          <w:rFonts w:ascii="Times New Roman" w:hAnsi="Times New Roman" w:cs="Times New Roman"/>
          <w:sz w:val="24"/>
          <w:szCs w:val="24"/>
        </w:rPr>
        <w:t xml:space="preserve">  et </w:t>
      </w:r>
      <w:proofErr w:type="spellStart"/>
      <w:r>
        <w:rPr>
          <w:rFonts w:ascii="Times New Roman" w:hAnsi="Times New Roman" w:cs="Times New Roman"/>
          <w:sz w:val="24"/>
          <w:szCs w:val="24"/>
        </w:rPr>
        <w:t>antioxydante</w:t>
      </w:r>
      <w:proofErr w:type="spellEnd"/>
      <w:r>
        <w:rPr>
          <w:rFonts w:ascii="Times New Roman" w:hAnsi="Times New Roman" w:cs="Times New Roman"/>
          <w:sz w:val="24"/>
          <w:szCs w:val="24"/>
        </w:rPr>
        <w:t xml:space="preserve"> des flavonoïdes de la plante sur les rats rendus dyspeptiques par le </w:t>
      </w:r>
      <w:proofErr w:type="spellStart"/>
      <w:r>
        <w:rPr>
          <w:rFonts w:ascii="Times New Roman" w:hAnsi="Times New Roman" w:cs="Times New Roman"/>
          <w:sz w:val="24"/>
          <w:szCs w:val="24"/>
        </w:rPr>
        <w:t>diclofenac</w:t>
      </w:r>
      <w:proofErr w:type="spellEnd"/>
      <w:r>
        <w:rPr>
          <w:rFonts w:ascii="Times New Roman" w:hAnsi="Times New Roman" w:cs="Times New Roman"/>
          <w:sz w:val="24"/>
          <w:szCs w:val="24"/>
        </w:rPr>
        <w:t xml:space="preserve"> de sodium. L’évaluation de la composition </w:t>
      </w:r>
      <w:proofErr w:type="spellStart"/>
      <w:r>
        <w:rPr>
          <w:rFonts w:ascii="Times New Roman" w:hAnsi="Times New Roman" w:cs="Times New Roman"/>
          <w:sz w:val="24"/>
          <w:szCs w:val="24"/>
        </w:rPr>
        <w:t>phytochimique</w:t>
      </w:r>
      <w:proofErr w:type="spellEnd"/>
      <w:r>
        <w:rPr>
          <w:rFonts w:ascii="Times New Roman" w:hAnsi="Times New Roman" w:cs="Times New Roman"/>
          <w:sz w:val="24"/>
          <w:szCs w:val="24"/>
        </w:rPr>
        <w:t xml:space="preserve"> de la plante étudiée a révélé la présence de quelques classes de métabolites secondaires. La méthode d’extraction, par affrontement par les solvants organiques, a permis d’obtenir quatre extraits : extrait éthérique,  extrait </w:t>
      </w:r>
      <w:proofErr w:type="spellStart"/>
      <w:r>
        <w:rPr>
          <w:rFonts w:ascii="Times New Roman" w:hAnsi="Times New Roman" w:cs="Times New Roman"/>
          <w:sz w:val="24"/>
          <w:szCs w:val="24"/>
        </w:rPr>
        <w:t>hexanique</w:t>
      </w:r>
      <w:proofErr w:type="spellEnd"/>
      <w:r>
        <w:rPr>
          <w:rFonts w:ascii="Times New Roman" w:hAnsi="Times New Roman" w:cs="Times New Roman"/>
          <w:sz w:val="24"/>
          <w:szCs w:val="24"/>
        </w:rPr>
        <w:t xml:space="preserve">, extrait </w:t>
      </w:r>
      <w:proofErr w:type="spellStart"/>
      <w:r>
        <w:rPr>
          <w:rFonts w:ascii="Times New Roman" w:hAnsi="Times New Roman" w:cs="Times New Roman"/>
          <w:sz w:val="24"/>
          <w:szCs w:val="24"/>
        </w:rPr>
        <w:t>chloroformique</w:t>
      </w:r>
      <w:proofErr w:type="spellEnd"/>
      <w:r>
        <w:rPr>
          <w:rFonts w:ascii="Times New Roman" w:hAnsi="Times New Roman" w:cs="Times New Roman"/>
          <w:sz w:val="24"/>
          <w:szCs w:val="24"/>
        </w:rPr>
        <w:t xml:space="preserve"> et extrait </w:t>
      </w:r>
      <w:proofErr w:type="spellStart"/>
      <w:r>
        <w:rPr>
          <w:rFonts w:ascii="Times New Roman" w:hAnsi="Times New Roman" w:cs="Times New Roman"/>
          <w:sz w:val="24"/>
          <w:szCs w:val="24"/>
        </w:rPr>
        <w:t>butanolique</w:t>
      </w:r>
      <w:proofErr w:type="spellEnd"/>
      <w:r>
        <w:rPr>
          <w:rFonts w:ascii="Times New Roman" w:hAnsi="Times New Roman" w:cs="Times New Roman"/>
          <w:sz w:val="24"/>
          <w:szCs w:val="24"/>
        </w:rPr>
        <w:t xml:space="preserve"> avec des concentrations respectives de  1.25mgEQ/</w:t>
      </w:r>
      <w:proofErr w:type="spellStart"/>
      <w:r>
        <w:rPr>
          <w:rFonts w:ascii="Times New Roman" w:hAnsi="Times New Roman" w:cs="Times New Roman"/>
          <w:sz w:val="24"/>
          <w:szCs w:val="24"/>
        </w:rPr>
        <w:t>gE</w:t>
      </w:r>
      <w:proofErr w:type="spellEnd"/>
      <w:r>
        <w:rPr>
          <w:rFonts w:ascii="Times New Roman" w:hAnsi="Times New Roman" w:cs="Times New Roman"/>
          <w:sz w:val="24"/>
          <w:szCs w:val="24"/>
        </w:rPr>
        <w:t>, 1.48 mg EQ/</w:t>
      </w:r>
      <w:proofErr w:type="spellStart"/>
      <w:r>
        <w:rPr>
          <w:rFonts w:ascii="Times New Roman" w:hAnsi="Times New Roman" w:cs="Times New Roman"/>
          <w:sz w:val="24"/>
          <w:szCs w:val="24"/>
        </w:rPr>
        <w:t>gE</w:t>
      </w:r>
      <w:proofErr w:type="spellEnd"/>
      <w:r>
        <w:rPr>
          <w:rFonts w:ascii="Times New Roman" w:hAnsi="Times New Roman" w:cs="Times New Roman"/>
          <w:sz w:val="24"/>
          <w:szCs w:val="24"/>
        </w:rPr>
        <w:t>, 3.18mgEQ/</w:t>
      </w:r>
      <w:proofErr w:type="spellStart"/>
      <w:r>
        <w:rPr>
          <w:rFonts w:ascii="Times New Roman" w:hAnsi="Times New Roman" w:cs="Times New Roman"/>
          <w:sz w:val="24"/>
          <w:szCs w:val="24"/>
        </w:rPr>
        <w:t>gE</w:t>
      </w:r>
      <w:proofErr w:type="spellEnd"/>
      <w:r>
        <w:rPr>
          <w:rFonts w:ascii="Times New Roman" w:hAnsi="Times New Roman" w:cs="Times New Roman"/>
          <w:sz w:val="24"/>
          <w:szCs w:val="24"/>
        </w:rPr>
        <w:t xml:space="preserve"> et 4.66 mg EQ/</w:t>
      </w:r>
      <w:proofErr w:type="spellStart"/>
      <w:r>
        <w:rPr>
          <w:rFonts w:ascii="Times New Roman" w:hAnsi="Times New Roman" w:cs="Times New Roman"/>
          <w:sz w:val="24"/>
          <w:szCs w:val="24"/>
        </w:rPr>
        <w:t>gE</w:t>
      </w:r>
      <w:proofErr w:type="spellEnd"/>
      <w:r>
        <w:rPr>
          <w:rFonts w:ascii="Times New Roman" w:hAnsi="Times New Roman" w:cs="Times New Roman"/>
          <w:sz w:val="24"/>
          <w:szCs w:val="24"/>
        </w:rPr>
        <w:t xml:space="preserve"> de flavonoïdes totaux. </w:t>
      </w:r>
    </w:p>
    <w:p w:rsidR="007804EE" w:rsidRDefault="007804EE" w:rsidP="007804EE">
      <w:pPr>
        <w:tabs>
          <w:tab w:val="left" w:pos="238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L’évaluation de l’activité </w:t>
      </w:r>
      <w:proofErr w:type="spellStart"/>
      <w:r>
        <w:rPr>
          <w:rFonts w:ascii="Times New Roman" w:hAnsi="Times New Roman" w:cs="Times New Roman"/>
          <w:sz w:val="24"/>
          <w:szCs w:val="24"/>
        </w:rPr>
        <w:t>antioxydante</w:t>
      </w:r>
      <w:proofErr w:type="spellEnd"/>
      <w:r>
        <w:rPr>
          <w:rFonts w:ascii="Times New Roman" w:hAnsi="Times New Roman" w:cs="Times New Roman"/>
          <w:sz w:val="24"/>
          <w:szCs w:val="24"/>
        </w:rPr>
        <w:t xml:space="preserve">, </w:t>
      </w:r>
      <w:r>
        <w:rPr>
          <w:rFonts w:ascii="Times New Roman" w:hAnsi="Times New Roman" w:cs="Times New Roman"/>
          <w:i/>
          <w:sz w:val="24"/>
          <w:szCs w:val="24"/>
        </w:rPr>
        <w:t>in vitro</w:t>
      </w:r>
      <w:r>
        <w:rPr>
          <w:rFonts w:ascii="Times New Roman" w:hAnsi="Times New Roman" w:cs="Times New Roman"/>
          <w:sz w:val="24"/>
          <w:szCs w:val="24"/>
        </w:rPr>
        <w:t>, des différentes fractions est effectuée par trois méthodes : le piégeage du radical 2,2-diphényl-1-</w:t>
      </w:r>
      <w:proofErr w:type="gramStart"/>
      <w:r>
        <w:rPr>
          <w:rFonts w:ascii="Times New Roman" w:hAnsi="Times New Roman" w:cs="Times New Roman"/>
          <w:sz w:val="24"/>
          <w:szCs w:val="24"/>
        </w:rPr>
        <w:t>picrylhydrazyl(</w:t>
      </w:r>
      <w:proofErr w:type="gramEnd"/>
      <w:r>
        <w:rPr>
          <w:rFonts w:ascii="Times New Roman" w:hAnsi="Times New Roman" w:cs="Times New Roman"/>
          <w:sz w:val="24"/>
          <w:szCs w:val="24"/>
        </w:rPr>
        <w:t>DPPH</w:t>
      </w:r>
      <w:r>
        <w:rPr>
          <w:rFonts w:ascii="Times New Roman" w:hAnsi="Times New Roman" w:cs="Times New Roman"/>
          <w:sz w:val="24"/>
          <w:szCs w:val="24"/>
          <w:vertAlign w:val="superscript"/>
        </w:rPr>
        <w:t>•</w:t>
      </w:r>
      <w:r>
        <w:rPr>
          <w:rFonts w:ascii="Times New Roman" w:hAnsi="Times New Roman" w:cs="Times New Roman"/>
          <w:sz w:val="24"/>
          <w:szCs w:val="24"/>
        </w:rPr>
        <w:t xml:space="preserve">), le blanchiment du </w:t>
      </w:r>
      <w:r>
        <w:rPr>
          <w:rFonts w:ascii="Calibri" w:hAnsi="Calibri" w:cs="Calibri"/>
          <w:sz w:val="24"/>
          <w:szCs w:val="24"/>
        </w:rPr>
        <w:t>β</w:t>
      </w:r>
      <w:r>
        <w:rPr>
          <w:rFonts w:ascii="Times New Roman" w:hAnsi="Times New Roman" w:cs="Times New Roman"/>
          <w:sz w:val="24"/>
          <w:szCs w:val="24"/>
        </w:rPr>
        <w:t xml:space="preserve">-carotène et le pouvoir chélateur des ions ferreux (FRAP). Ainsi, les fractions étudiées présentent un potentiel </w:t>
      </w:r>
      <w:proofErr w:type="spellStart"/>
      <w:r>
        <w:rPr>
          <w:rFonts w:ascii="Times New Roman" w:hAnsi="Times New Roman" w:cs="Times New Roman"/>
          <w:sz w:val="24"/>
          <w:szCs w:val="24"/>
        </w:rPr>
        <w:t>antiradicalaire</w:t>
      </w:r>
      <w:proofErr w:type="spellEnd"/>
      <w:r>
        <w:rPr>
          <w:rFonts w:ascii="Times New Roman" w:hAnsi="Times New Roman" w:cs="Times New Roman"/>
          <w:sz w:val="24"/>
          <w:szCs w:val="24"/>
        </w:rPr>
        <w:t xml:space="preserve">  dépendant de leur contenu en polyphénols et en flavonoïdes totaux. Un meilleur effet  est signalé dans l’extrait </w:t>
      </w:r>
      <w:proofErr w:type="spellStart"/>
      <w:r>
        <w:rPr>
          <w:rFonts w:ascii="Times New Roman" w:hAnsi="Times New Roman" w:cs="Times New Roman"/>
          <w:sz w:val="24"/>
          <w:szCs w:val="24"/>
        </w:rPr>
        <w:t>butanolique</w:t>
      </w:r>
      <w:proofErr w:type="spellEnd"/>
      <w:r>
        <w:rPr>
          <w:rFonts w:ascii="Times New Roman" w:hAnsi="Times New Roman" w:cs="Times New Roman"/>
          <w:sz w:val="24"/>
          <w:szCs w:val="24"/>
        </w:rPr>
        <w:t xml:space="preserve">. L’analyse chromatographique de ce dernier par LC-ESI-MS a permis de révéler la présence de douze composés phénoliques : acide gallique, acide </w:t>
      </w:r>
      <w:proofErr w:type="spellStart"/>
      <w:r>
        <w:rPr>
          <w:rFonts w:ascii="Times New Roman" w:hAnsi="Times New Roman" w:cs="Times New Roman"/>
          <w:sz w:val="24"/>
          <w:szCs w:val="24"/>
        </w:rPr>
        <w:t>ellagique</w:t>
      </w:r>
      <w:proofErr w:type="spellEnd"/>
      <w:r>
        <w:rPr>
          <w:rFonts w:ascii="Times New Roman" w:hAnsi="Times New Roman" w:cs="Times New Roman"/>
          <w:sz w:val="24"/>
          <w:szCs w:val="24"/>
        </w:rPr>
        <w:t xml:space="preserve">, acide </w:t>
      </w:r>
      <w:proofErr w:type="spellStart"/>
      <w:r>
        <w:rPr>
          <w:rFonts w:ascii="Times New Roman" w:hAnsi="Times New Roman" w:cs="Times New Roman"/>
          <w:sz w:val="24"/>
          <w:szCs w:val="24"/>
        </w:rPr>
        <w:t>férulique</w:t>
      </w:r>
      <w:proofErr w:type="spellEnd"/>
      <w:r>
        <w:rPr>
          <w:rFonts w:ascii="Times New Roman" w:hAnsi="Times New Roman" w:cs="Times New Roman"/>
          <w:sz w:val="24"/>
          <w:szCs w:val="24"/>
        </w:rPr>
        <w:t xml:space="preserve">, acide </w:t>
      </w:r>
      <w:proofErr w:type="spellStart"/>
      <w:r>
        <w:rPr>
          <w:rFonts w:ascii="Times New Roman" w:hAnsi="Times New Roman" w:cs="Times New Roman"/>
          <w:sz w:val="24"/>
          <w:szCs w:val="24"/>
        </w:rPr>
        <w:t>synringique</w:t>
      </w:r>
      <w:proofErr w:type="spellEnd"/>
      <w:r>
        <w:rPr>
          <w:rFonts w:ascii="Times New Roman" w:hAnsi="Times New Roman" w:cs="Times New Roman"/>
          <w:sz w:val="24"/>
          <w:szCs w:val="24"/>
        </w:rPr>
        <w:t xml:space="preserve">, </w:t>
      </w:r>
      <w:proofErr w:type="gramStart"/>
      <w:r>
        <w:rPr>
          <w:rFonts w:ascii="Times New Roman" w:hAnsi="Times New Roman" w:cs="Times New Roman"/>
          <w:sz w:val="24"/>
          <w:szCs w:val="24"/>
        </w:rPr>
        <w:t>acide</w:t>
      </w:r>
      <w:proofErr w:type="gramEnd"/>
      <w:r>
        <w:rPr>
          <w:rFonts w:ascii="Times New Roman" w:hAnsi="Times New Roman" w:cs="Times New Roman"/>
          <w:sz w:val="24"/>
          <w:szCs w:val="24"/>
        </w:rPr>
        <w:t xml:space="preserve"> salicylique, </w:t>
      </w:r>
      <w:proofErr w:type="spellStart"/>
      <w:r>
        <w:rPr>
          <w:rFonts w:ascii="Times New Roman" w:hAnsi="Times New Roman" w:cs="Times New Roman"/>
          <w:sz w:val="24"/>
          <w:szCs w:val="24"/>
        </w:rPr>
        <w:t>quercétine</w:t>
      </w:r>
      <w:proofErr w:type="spellEnd"/>
      <w:r>
        <w:rPr>
          <w:rFonts w:ascii="Times New Roman" w:hAnsi="Times New Roman" w:cs="Times New Roman"/>
          <w:sz w:val="24"/>
          <w:szCs w:val="24"/>
        </w:rPr>
        <w:t xml:space="preserve">, quercetien-3-o-rutinoside, rutine, </w:t>
      </w:r>
      <w:proofErr w:type="spellStart"/>
      <w:r>
        <w:rPr>
          <w:rFonts w:ascii="Times New Roman" w:hAnsi="Times New Roman" w:cs="Times New Roman"/>
          <w:sz w:val="24"/>
          <w:szCs w:val="24"/>
        </w:rPr>
        <w:t>cathéchine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kaempferol</w:t>
      </w:r>
      <w:proofErr w:type="spellEnd"/>
      <w:r>
        <w:rPr>
          <w:rFonts w:ascii="Times New Roman" w:hAnsi="Times New Roman" w:cs="Times New Roman"/>
          <w:sz w:val="24"/>
          <w:szCs w:val="24"/>
        </w:rPr>
        <w:t xml:space="preserve">,  </w:t>
      </w:r>
    </w:p>
    <w:p w:rsidR="007804EE" w:rsidRDefault="007804EE" w:rsidP="007804EE">
      <w:pPr>
        <w:tabs>
          <w:tab w:val="left" w:pos="238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Le prétraitement de nos rats soumis au </w:t>
      </w:r>
      <w:proofErr w:type="spellStart"/>
      <w:r>
        <w:rPr>
          <w:rFonts w:ascii="Times New Roman" w:hAnsi="Times New Roman" w:cs="Times New Roman"/>
          <w:sz w:val="24"/>
          <w:szCs w:val="24"/>
        </w:rPr>
        <w:t>diclofenac</w:t>
      </w:r>
      <w:proofErr w:type="spellEnd"/>
      <w:r>
        <w:rPr>
          <w:rFonts w:ascii="Times New Roman" w:hAnsi="Times New Roman" w:cs="Times New Roman"/>
          <w:sz w:val="24"/>
          <w:szCs w:val="24"/>
        </w:rPr>
        <w:t xml:space="preserve"> de sodium par l’extrait </w:t>
      </w:r>
      <w:proofErr w:type="spellStart"/>
      <w:r>
        <w:rPr>
          <w:rFonts w:ascii="Times New Roman" w:hAnsi="Times New Roman" w:cs="Times New Roman"/>
          <w:sz w:val="24"/>
          <w:szCs w:val="24"/>
        </w:rPr>
        <w:t>butanolique</w:t>
      </w:r>
      <w:proofErr w:type="spellEnd"/>
      <w:r>
        <w:rPr>
          <w:rFonts w:ascii="Times New Roman" w:hAnsi="Times New Roman" w:cs="Times New Roman"/>
          <w:sz w:val="24"/>
          <w:szCs w:val="24"/>
        </w:rPr>
        <w:t xml:space="preserve"> de gingembre a montré une inhibition de la production du TNF-α et une augmentation des taux de PGE2. Cet extrait a également entrainé une amélioration du statut antioxydant en induisant une diminution de la concentration du MDA, un accroissement du taux du GSH et une augmentation de l’activité de la CAT. D’autre part, l’administration préalable de l’extrait </w:t>
      </w:r>
      <w:proofErr w:type="spellStart"/>
      <w:r>
        <w:rPr>
          <w:rFonts w:ascii="Times New Roman" w:hAnsi="Times New Roman" w:cs="Times New Roman"/>
          <w:sz w:val="24"/>
          <w:szCs w:val="24"/>
        </w:rPr>
        <w:t>butanolique</w:t>
      </w:r>
      <w:proofErr w:type="spellEnd"/>
      <w:r>
        <w:rPr>
          <w:rFonts w:ascii="Times New Roman" w:hAnsi="Times New Roman" w:cs="Times New Roman"/>
          <w:sz w:val="24"/>
          <w:szCs w:val="24"/>
        </w:rPr>
        <w:t xml:space="preserve">   a montré une atténuation des  perturbations  de la muqueuse gastrique, une disparition des foyers inflammatoire ainsi qu’une amélioration de l’architectonie de l’artère stomacale.</w:t>
      </w:r>
      <w:bookmarkStart w:id="0" w:name="_GoBack"/>
      <w:bookmarkEnd w:id="0"/>
    </w:p>
    <w:sectPr w:rsidR="007804EE" w:rsidSect="004770A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proofState w:spelling="clean" w:grammar="clean"/>
  <w:defaultTabStop w:val="708"/>
  <w:hyphenationZone w:val="425"/>
  <w:characterSpacingControl w:val="doNotCompress"/>
  <w:compat>
    <w:compatSetting w:name="compatibilityMode" w:uri="http://schemas.microsoft.com/office/word" w:val="12"/>
  </w:compat>
  <w:rsids>
    <w:rsidRoot w:val="007804EE"/>
    <w:rsid w:val="00006C87"/>
    <w:rsid w:val="000777B2"/>
    <w:rsid w:val="00103B41"/>
    <w:rsid w:val="00187362"/>
    <w:rsid w:val="002F04EE"/>
    <w:rsid w:val="0031333A"/>
    <w:rsid w:val="004770A2"/>
    <w:rsid w:val="004B455C"/>
    <w:rsid w:val="005B715E"/>
    <w:rsid w:val="005F3CF6"/>
    <w:rsid w:val="007804EE"/>
    <w:rsid w:val="007D27FC"/>
    <w:rsid w:val="008C6C04"/>
    <w:rsid w:val="008F1477"/>
    <w:rsid w:val="00966095"/>
    <w:rsid w:val="0099641D"/>
    <w:rsid w:val="00A765E4"/>
    <w:rsid w:val="00D22AE2"/>
    <w:rsid w:val="00F01D4A"/>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804EE"/>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5F3CF6"/>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5F3CF6"/>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986791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30</TotalTime>
  <Pages>1</Pages>
  <Words>345</Words>
  <Characters>1898</Characters>
  <Application>Microsoft Office Word</Application>
  <DocSecurity>0</DocSecurity>
  <Lines>15</Lines>
  <Paragraphs>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2239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b-13</cp:lastModifiedBy>
  <cp:revision>12</cp:revision>
  <cp:lastPrinted>2019-01-14T09:53:00Z</cp:lastPrinted>
  <dcterms:created xsi:type="dcterms:W3CDTF">2018-02-04T18:16:00Z</dcterms:created>
  <dcterms:modified xsi:type="dcterms:W3CDTF">2019-05-23T10:16:00Z</dcterms:modified>
</cp:coreProperties>
</file>