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17E3" w:rsidRDefault="006517E3" w:rsidP="006517E3">
      <w:pPr>
        <w:autoSpaceDE w:val="0"/>
        <w:autoSpaceDN w:val="0"/>
        <w:adjustRightInd w:val="0"/>
        <w:rPr>
          <w:rFonts w:eastAsiaTheme="minorHAnsi"/>
          <w:b/>
          <w:lang w:eastAsia="en-US"/>
        </w:rPr>
      </w:pPr>
    </w:p>
    <w:p w:rsidR="006517E3" w:rsidRDefault="006517E3" w:rsidP="006517E3">
      <w:pPr>
        <w:autoSpaceDE w:val="0"/>
        <w:autoSpaceDN w:val="0"/>
        <w:adjustRightInd w:val="0"/>
        <w:rPr>
          <w:rFonts w:eastAsiaTheme="minorHAnsi"/>
          <w:b/>
          <w:lang w:eastAsia="en-US"/>
        </w:rPr>
      </w:pPr>
    </w:p>
    <w:p w:rsidR="006517E3" w:rsidRDefault="006517E3" w:rsidP="006517E3">
      <w:pPr>
        <w:autoSpaceDE w:val="0"/>
        <w:autoSpaceDN w:val="0"/>
        <w:adjustRightInd w:val="0"/>
        <w:rPr>
          <w:rFonts w:eastAsiaTheme="minorHAnsi"/>
          <w:b/>
          <w:lang w:eastAsia="en-US"/>
        </w:rPr>
      </w:pPr>
    </w:p>
    <w:p w:rsidR="006517E3" w:rsidRDefault="006517E3" w:rsidP="006517E3">
      <w:pPr>
        <w:autoSpaceDE w:val="0"/>
        <w:autoSpaceDN w:val="0"/>
        <w:adjustRightInd w:val="0"/>
        <w:rPr>
          <w:rFonts w:eastAsiaTheme="minorHAnsi"/>
          <w:b/>
          <w:lang w:eastAsia="en-US"/>
        </w:rPr>
      </w:pPr>
    </w:p>
    <w:p w:rsidR="006517E3" w:rsidRDefault="006517E3" w:rsidP="006517E3">
      <w:pPr>
        <w:autoSpaceDE w:val="0"/>
        <w:autoSpaceDN w:val="0"/>
        <w:adjustRightInd w:val="0"/>
        <w:rPr>
          <w:rFonts w:eastAsiaTheme="minorHAnsi"/>
          <w:b/>
          <w:lang w:eastAsia="en-US"/>
        </w:rPr>
      </w:pPr>
      <w:bookmarkStart w:id="0" w:name="_GoBack"/>
      <w:bookmarkEnd w:id="0"/>
    </w:p>
    <w:p w:rsidR="005F6175" w:rsidRPr="006517E3" w:rsidRDefault="005F6175" w:rsidP="006517E3">
      <w:pPr>
        <w:autoSpaceDE w:val="0"/>
        <w:autoSpaceDN w:val="0"/>
        <w:adjustRightInd w:val="0"/>
        <w:rPr>
          <w:rFonts w:eastAsiaTheme="minorHAnsi"/>
          <w:b/>
          <w:u w:val="single"/>
          <w:lang w:eastAsia="en-US"/>
        </w:rPr>
      </w:pPr>
      <w:r w:rsidRPr="006517E3">
        <w:rPr>
          <w:rFonts w:eastAsiaTheme="minorHAnsi"/>
          <w:b/>
          <w:u w:val="single"/>
          <w:lang w:eastAsia="en-US"/>
        </w:rPr>
        <w:t>Abstract</w:t>
      </w:r>
      <w:r w:rsidR="006517E3">
        <w:rPr>
          <w:rFonts w:eastAsiaTheme="minorHAnsi"/>
          <w:b/>
          <w:u w:val="single"/>
          <w:lang w:eastAsia="en-US"/>
        </w:rPr>
        <w:t> </w:t>
      </w:r>
      <w:r w:rsidR="006517E3" w:rsidRPr="006517E3">
        <w:rPr>
          <w:rFonts w:eastAsiaTheme="minorHAnsi"/>
          <w:b/>
          <w:lang w:eastAsia="en-US"/>
        </w:rPr>
        <w:t>:</w:t>
      </w:r>
    </w:p>
    <w:p w:rsidR="005F6175" w:rsidRDefault="005F6175" w:rsidP="00ED2642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p w:rsidR="00ED2642" w:rsidRDefault="00ED2642" w:rsidP="006517E3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Nos résultats portant sur une cohorte de patients atteints de PR ont permis </w:t>
      </w:r>
      <w:r>
        <w:t xml:space="preserve">la mise en évidence de l’engagement du NO aussi bien </w:t>
      </w:r>
      <w:r w:rsidRPr="00FB1C42">
        <w:rPr>
          <w:i/>
          <w:iCs/>
        </w:rPr>
        <w:t>ex-vivo</w:t>
      </w:r>
      <w:r>
        <w:t xml:space="preserve"> qu’</w:t>
      </w:r>
      <w:r w:rsidRPr="00FB1C42">
        <w:rPr>
          <w:i/>
          <w:iCs/>
        </w:rPr>
        <w:t xml:space="preserve">in vivo </w:t>
      </w:r>
      <w:r>
        <w:rPr>
          <w:rFonts w:eastAsiaTheme="minorHAnsi"/>
          <w:lang w:eastAsia="en-US"/>
        </w:rPr>
        <w:t>dans la pathogenèse de cette maladie. L’IL-6 et l’IL-1β modulaient positivement la production du NO et l’expression de l’</w:t>
      </w:r>
      <w:proofErr w:type="spellStart"/>
      <w:r>
        <w:rPr>
          <w:rFonts w:eastAsiaTheme="minorHAnsi"/>
          <w:lang w:eastAsia="en-US"/>
        </w:rPr>
        <w:t>iNOS</w:t>
      </w:r>
      <w:proofErr w:type="spellEnd"/>
      <w:r>
        <w:rPr>
          <w:rFonts w:eastAsiaTheme="minorHAnsi"/>
          <w:lang w:eastAsia="en-US"/>
        </w:rPr>
        <w:t>, alors que l’ATRA les régulait négativement et ce, via la voie NF-</w:t>
      </w:r>
      <w:proofErr w:type="spellStart"/>
      <w:r>
        <w:rPr>
          <w:rFonts w:eastAsiaTheme="minorHAnsi"/>
          <w:lang w:eastAsia="en-US"/>
        </w:rPr>
        <w:t>κB</w:t>
      </w:r>
      <w:proofErr w:type="spellEnd"/>
      <w:r>
        <w:rPr>
          <w:rFonts w:eastAsiaTheme="minorHAnsi"/>
          <w:lang w:eastAsia="en-US"/>
        </w:rPr>
        <w:t xml:space="preserve">. </w:t>
      </w:r>
      <w:r>
        <w:rPr>
          <w:rFonts w:asciiTheme="majorBidi" w:hAnsiTheme="majorBidi" w:cstheme="majorBidi"/>
        </w:rPr>
        <w:t xml:space="preserve">Par ailleurs, </w:t>
      </w:r>
      <w:r w:rsidRPr="007234B5">
        <w:rPr>
          <w:rFonts w:asciiTheme="majorBidi" w:hAnsiTheme="majorBidi" w:cstheme="majorBidi"/>
          <w:i/>
          <w:iCs/>
        </w:rPr>
        <w:t>N.S</w:t>
      </w:r>
      <w:r>
        <w:rPr>
          <w:rFonts w:asciiTheme="majorBidi" w:hAnsiTheme="majorBidi" w:cstheme="majorBidi"/>
        </w:rPr>
        <w:t>. régulerait négativement la production du NO mais n’aurait aucun effet sur l’expression de l’</w:t>
      </w:r>
      <w:proofErr w:type="spellStart"/>
      <w:r>
        <w:rPr>
          <w:rFonts w:asciiTheme="majorBidi" w:hAnsiTheme="majorBidi" w:cstheme="majorBidi"/>
        </w:rPr>
        <w:t>iNOS</w:t>
      </w:r>
      <w:proofErr w:type="spellEnd"/>
      <w:r>
        <w:rPr>
          <w:rFonts w:asciiTheme="majorBidi" w:hAnsiTheme="majorBidi" w:cstheme="majorBidi"/>
        </w:rPr>
        <w:t xml:space="preserve"> et l’activité du NF-</w:t>
      </w:r>
      <w:proofErr w:type="spellStart"/>
      <w:r>
        <w:rPr>
          <w:rFonts w:asciiTheme="majorBidi" w:hAnsiTheme="majorBidi" w:cstheme="majorBidi"/>
        </w:rPr>
        <w:t>κB</w:t>
      </w:r>
      <w:proofErr w:type="spellEnd"/>
      <w:r>
        <w:t>.</w:t>
      </w:r>
      <w:r w:rsidRPr="002218A7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eastAsia="en-US"/>
        </w:rPr>
        <w:t>D</w:t>
      </w:r>
      <w:r w:rsidR="00677064">
        <w:rPr>
          <w:rFonts w:eastAsiaTheme="minorHAnsi"/>
          <w:lang w:eastAsia="en-US"/>
        </w:rPr>
        <w:t>’autre part</w:t>
      </w:r>
      <w:r>
        <w:rPr>
          <w:rFonts w:eastAsiaTheme="minorHAnsi"/>
          <w:lang w:eastAsia="en-US"/>
        </w:rPr>
        <w:t xml:space="preserve">, nous avons noté l’implication des voies </w:t>
      </w:r>
      <w:proofErr w:type="spellStart"/>
      <w:r>
        <w:rPr>
          <w:rFonts w:eastAsiaTheme="minorHAnsi"/>
          <w:lang w:eastAsia="en-US"/>
        </w:rPr>
        <w:t>iNOS</w:t>
      </w:r>
      <w:proofErr w:type="spellEnd"/>
      <w:r>
        <w:rPr>
          <w:rFonts w:eastAsiaTheme="minorHAnsi"/>
          <w:lang w:eastAsia="en-US"/>
        </w:rPr>
        <w:t xml:space="preserve"> et Arginase dans la pathogenèse de l’AEA</w:t>
      </w:r>
      <w:r w:rsidR="008B0B11">
        <w:rPr>
          <w:rFonts w:eastAsiaTheme="minorHAnsi"/>
          <w:lang w:eastAsia="en-US"/>
        </w:rPr>
        <w:t xml:space="preserve"> </w:t>
      </w:r>
      <w:r w:rsidR="00677064">
        <w:rPr>
          <w:rFonts w:eastAsiaTheme="minorHAnsi"/>
          <w:lang w:eastAsia="en-US"/>
        </w:rPr>
        <w:t xml:space="preserve">chez le rat </w:t>
      </w:r>
      <w:proofErr w:type="spellStart"/>
      <w:r w:rsidR="00677064" w:rsidRPr="00677064">
        <w:rPr>
          <w:rFonts w:eastAsiaTheme="minorHAnsi"/>
          <w:i/>
          <w:lang w:eastAsia="en-US"/>
        </w:rPr>
        <w:t>Wistar</w:t>
      </w:r>
      <w:proofErr w:type="spellEnd"/>
      <w:r>
        <w:rPr>
          <w:rFonts w:eastAsiaTheme="minorHAnsi"/>
          <w:lang w:eastAsia="en-US"/>
        </w:rPr>
        <w:t xml:space="preserve">. </w:t>
      </w:r>
      <w:r w:rsidR="00677064">
        <w:rPr>
          <w:rFonts w:eastAsiaTheme="minorHAnsi"/>
          <w:lang w:eastAsia="en-US"/>
        </w:rPr>
        <w:t xml:space="preserve">L’extrait aqueux de </w:t>
      </w:r>
      <w:r w:rsidR="00677064" w:rsidRPr="00A92B4A">
        <w:rPr>
          <w:rFonts w:eastAsiaTheme="minorHAnsi"/>
          <w:i/>
          <w:iCs/>
          <w:lang w:eastAsia="en-US"/>
        </w:rPr>
        <w:t>N.S</w:t>
      </w:r>
      <w:r w:rsidR="00677064">
        <w:rPr>
          <w:rFonts w:eastAsiaTheme="minorHAnsi"/>
          <w:lang w:eastAsia="en-US"/>
        </w:rPr>
        <w:t xml:space="preserve">. </w:t>
      </w:r>
      <w:r w:rsidR="008B0B11">
        <w:rPr>
          <w:rFonts w:eastAsiaTheme="minorHAnsi"/>
          <w:lang w:eastAsia="en-US"/>
        </w:rPr>
        <w:t>exercerait</w:t>
      </w:r>
      <w:r w:rsidR="00677064">
        <w:rPr>
          <w:rFonts w:eastAsiaTheme="minorHAnsi"/>
          <w:lang w:eastAsia="en-US"/>
        </w:rPr>
        <w:t xml:space="preserve"> un </w:t>
      </w:r>
      <w:r>
        <w:rPr>
          <w:rFonts w:eastAsiaTheme="minorHAnsi"/>
          <w:lang w:eastAsia="en-US"/>
        </w:rPr>
        <w:t>ef</w:t>
      </w:r>
      <w:r w:rsidR="00677064">
        <w:rPr>
          <w:rFonts w:eastAsiaTheme="minorHAnsi"/>
          <w:lang w:eastAsia="en-US"/>
        </w:rPr>
        <w:t xml:space="preserve">fet </w:t>
      </w:r>
      <w:proofErr w:type="spellStart"/>
      <w:r w:rsidR="00677064">
        <w:rPr>
          <w:rFonts w:eastAsiaTheme="minorHAnsi"/>
          <w:lang w:eastAsia="en-US"/>
        </w:rPr>
        <w:t>immuno</w:t>
      </w:r>
      <w:proofErr w:type="spellEnd"/>
      <w:r w:rsidR="00677064">
        <w:rPr>
          <w:rFonts w:eastAsiaTheme="minorHAnsi"/>
          <w:lang w:eastAsia="en-US"/>
        </w:rPr>
        <w:t>-modulateur</w:t>
      </w:r>
      <w:r>
        <w:rPr>
          <w:rFonts w:eastAsiaTheme="minorHAnsi"/>
          <w:lang w:eastAsia="en-US"/>
        </w:rPr>
        <w:t xml:space="preserve"> sur l’activité de la </w:t>
      </w:r>
      <w:proofErr w:type="spellStart"/>
      <w:r>
        <w:rPr>
          <w:rFonts w:eastAsiaTheme="minorHAnsi"/>
          <w:lang w:eastAsia="en-US"/>
        </w:rPr>
        <w:t>iNOS</w:t>
      </w:r>
      <w:proofErr w:type="spellEnd"/>
      <w:r>
        <w:rPr>
          <w:rFonts w:eastAsiaTheme="minorHAnsi"/>
          <w:lang w:eastAsia="en-US"/>
        </w:rPr>
        <w:t xml:space="preserve"> et de l’arginase au cours de l’AEA. </w:t>
      </w:r>
    </w:p>
    <w:p w:rsidR="005F6175" w:rsidRDefault="005F6175" w:rsidP="006517E3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lang w:eastAsia="en-US"/>
        </w:rPr>
      </w:pPr>
    </w:p>
    <w:p w:rsidR="005F6175" w:rsidRDefault="005F6175" w:rsidP="00ED2642">
      <w:pPr>
        <w:autoSpaceDE w:val="0"/>
        <w:autoSpaceDN w:val="0"/>
        <w:adjustRightInd w:val="0"/>
        <w:jc w:val="both"/>
      </w:pPr>
    </w:p>
    <w:p w:rsidR="00ED2642" w:rsidRDefault="00ED2642" w:rsidP="00ED2642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sectPr w:rsidR="00ED2642" w:rsidSect="00FC5B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D2642"/>
    <w:rsid w:val="005F6175"/>
    <w:rsid w:val="006517E3"/>
    <w:rsid w:val="00677064"/>
    <w:rsid w:val="008B0B11"/>
    <w:rsid w:val="00ED2642"/>
    <w:rsid w:val="00FC5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61A9C7A-7865-46D9-A0BD-5DBB541E3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26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115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Zakia</dc:creator>
  <cp:lastModifiedBy>naima</cp:lastModifiedBy>
  <cp:revision>3</cp:revision>
  <dcterms:created xsi:type="dcterms:W3CDTF">2017-07-09T16:59:00Z</dcterms:created>
  <dcterms:modified xsi:type="dcterms:W3CDTF">2018-04-25T08:48:00Z</dcterms:modified>
</cp:coreProperties>
</file>