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2A49" w:rsidRPr="00D22A49" w:rsidRDefault="00D22A49" w:rsidP="00D22A49">
      <w:pPr>
        <w:bidi w:val="0"/>
        <w:rPr>
          <w:lang w:val="fr-FR" w:bidi="ar-DZ"/>
        </w:rPr>
      </w:pPr>
      <w:r w:rsidRPr="00D22A49">
        <w:rPr>
          <w:lang w:val="fr-FR" w:bidi="ar-DZ"/>
        </w:rPr>
        <w:t xml:space="preserve">   Le métamorphisme de haute pression de la région de Tigueleï est caractérisé par  la présence d’éclogites </w:t>
      </w:r>
    </w:p>
    <w:p w:rsidR="00D22A49" w:rsidRPr="00D22A49" w:rsidRDefault="00D22A49" w:rsidP="00D22A49">
      <w:pPr>
        <w:bidi w:val="0"/>
        <w:rPr>
          <w:lang w:val="fr-FR" w:bidi="ar-DZ"/>
        </w:rPr>
      </w:pPr>
      <w:r w:rsidRPr="00D22A49">
        <w:rPr>
          <w:lang w:val="fr-FR" w:bidi="ar-DZ"/>
        </w:rPr>
        <w:t>qui montrent au cours de leur exhumation une évolution dans le facies granulite. Le cheminement</w:t>
      </w:r>
    </w:p>
    <w:p w:rsidR="00D22A49" w:rsidRPr="00D22A49" w:rsidRDefault="00D22A49" w:rsidP="00D22A49">
      <w:pPr>
        <w:bidi w:val="0"/>
        <w:rPr>
          <w:lang w:val="fr-FR" w:bidi="ar-DZ"/>
        </w:rPr>
      </w:pPr>
      <w:r w:rsidRPr="00D22A49">
        <w:rPr>
          <w:lang w:val="fr-FR" w:bidi="ar-DZ"/>
        </w:rPr>
        <w:t xml:space="preserve"> pression-température des éclogites  se traduit par une décompression de 18 kbar vers 10-11 kbar et une</w:t>
      </w:r>
    </w:p>
    <w:p w:rsidR="00D22A49" w:rsidRPr="00D22A49" w:rsidRDefault="00D22A49" w:rsidP="00D22A49">
      <w:pPr>
        <w:bidi w:val="0"/>
        <w:rPr>
          <w:lang w:val="fr-FR" w:bidi="ar-DZ"/>
        </w:rPr>
      </w:pPr>
      <w:r w:rsidRPr="00D22A49">
        <w:rPr>
          <w:lang w:val="fr-FR" w:bidi="ar-DZ"/>
        </w:rPr>
        <w:t xml:space="preserve"> augmentation de la température de 600 à 920°C, suivie d’un refroidissement dans le faciès amphibolite. Une</w:t>
      </w:r>
    </w:p>
    <w:p w:rsidR="00D22A49" w:rsidRPr="00D22A49" w:rsidRDefault="00D22A49" w:rsidP="00D22A49">
      <w:pPr>
        <w:bidi w:val="0"/>
        <w:rPr>
          <w:lang w:val="fr-FR" w:bidi="ar-DZ"/>
        </w:rPr>
      </w:pPr>
      <w:r w:rsidRPr="00D22A49">
        <w:rPr>
          <w:lang w:val="fr-FR" w:bidi="ar-DZ"/>
        </w:rPr>
        <w:t xml:space="preserve"> modélisation thermodynamique, avec les dernières mises à jour du logiciel THERMOCALC, permet de </w:t>
      </w:r>
    </w:p>
    <w:p w:rsidR="00D22A49" w:rsidRPr="00D22A49" w:rsidRDefault="00D22A49" w:rsidP="00D22A49">
      <w:pPr>
        <w:bidi w:val="0"/>
        <w:rPr>
          <w:lang w:val="fr-FR" w:bidi="ar-DZ"/>
        </w:rPr>
      </w:pPr>
      <w:r w:rsidRPr="00D22A49">
        <w:rPr>
          <w:lang w:val="fr-FR" w:bidi="ar-DZ"/>
        </w:rPr>
        <w:t xml:space="preserve">construire des pseudosections P-T-XH2O dans le système NCFMASHTIO qui  permet  de suivre la succession </w:t>
      </w:r>
    </w:p>
    <w:p w:rsidR="003A692D" w:rsidRPr="00D22A49" w:rsidRDefault="00D22A49" w:rsidP="00D22A49">
      <w:pPr>
        <w:bidi w:val="0"/>
        <w:rPr>
          <w:rFonts w:hint="cs"/>
          <w:lang w:val="fr-FR" w:bidi="ar-DZ"/>
        </w:rPr>
      </w:pPr>
      <w:r w:rsidRPr="00D22A49">
        <w:rPr>
          <w:lang w:val="fr-FR" w:bidi="ar-DZ"/>
        </w:rPr>
        <w:t>des paragenèses  dans le temps.</w:t>
      </w:r>
    </w:p>
    <w:sectPr w:rsidR="003A692D" w:rsidRPr="00D22A49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D22A49"/>
    <w:rsid w:val="003A692D"/>
    <w:rsid w:val="006D5754"/>
    <w:rsid w:val="00D22A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692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554</Characters>
  <Application>Microsoft Office Word</Application>
  <DocSecurity>0</DocSecurity>
  <Lines>4</Lines>
  <Paragraphs>1</Paragraphs>
  <ScaleCrop>false</ScaleCrop>
  <Company/>
  <LinksUpToDate>false</LinksUpToDate>
  <CharactersWithSpaces>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2015-01-12T13:06:00Z</dcterms:created>
  <dcterms:modified xsi:type="dcterms:W3CDTF">2015-01-12T13:06:00Z</dcterms:modified>
</cp:coreProperties>
</file>