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072B" w:rsidRDefault="004D072B" w:rsidP="00A965C4">
      <w:pPr>
        <w:jc w:val="center"/>
        <w:rPr>
          <w:rFonts w:ascii="Times New Roman" w:hAnsi="Times New Roman" w:cs="Times New Roman"/>
          <w:b/>
          <w:bCs/>
          <w:sz w:val="40"/>
          <w:szCs w:val="28"/>
        </w:rPr>
      </w:pPr>
    </w:p>
    <w:p w:rsidR="004D072B" w:rsidRDefault="004D072B" w:rsidP="00A965C4">
      <w:pPr>
        <w:jc w:val="center"/>
        <w:rPr>
          <w:rFonts w:ascii="Times New Roman" w:hAnsi="Times New Roman" w:cs="Times New Roman"/>
          <w:b/>
          <w:bCs/>
          <w:sz w:val="40"/>
          <w:szCs w:val="28"/>
        </w:rPr>
      </w:pPr>
    </w:p>
    <w:p w:rsidR="004D072B" w:rsidRDefault="004D072B" w:rsidP="00A965C4">
      <w:pPr>
        <w:jc w:val="center"/>
        <w:rPr>
          <w:rFonts w:ascii="Times New Roman" w:hAnsi="Times New Roman" w:cs="Times New Roman"/>
          <w:b/>
          <w:bCs/>
          <w:sz w:val="40"/>
          <w:szCs w:val="28"/>
        </w:rPr>
      </w:pPr>
    </w:p>
    <w:p w:rsidR="00A965C4" w:rsidRPr="00EC77E1" w:rsidRDefault="00A965C4" w:rsidP="00A965C4">
      <w:pPr>
        <w:jc w:val="center"/>
        <w:rPr>
          <w:rFonts w:ascii="Times New Roman" w:hAnsi="Times New Roman" w:cs="Times New Roman"/>
          <w:b/>
          <w:bCs/>
          <w:sz w:val="48"/>
        </w:rPr>
      </w:pPr>
      <w:bookmarkStart w:id="0" w:name="_GoBack"/>
      <w:bookmarkEnd w:id="0"/>
      <w:r w:rsidRPr="00EC77E1">
        <w:rPr>
          <w:rFonts w:ascii="Times New Roman" w:hAnsi="Times New Roman" w:cs="Times New Roman"/>
          <w:b/>
          <w:bCs/>
          <w:sz w:val="40"/>
          <w:szCs w:val="28"/>
        </w:rPr>
        <w:t xml:space="preserve">Amélioration de la </w:t>
      </w:r>
      <w:r w:rsidRPr="001120EA">
        <w:rPr>
          <w:rFonts w:ascii="Times New Roman" w:hAnsi="Times New Roman" w:cs="Times New Roman"/>
          <w:b/>
          <w:bCs/>
          <w:sz w:val="40"/>
          <w:szCs w:val="28"/>
        </w:rPr>
        <w:t>R</w:t>
      </w:r>
      <w:r>
        <w:rPr>
          <w:rFonts w:ascii="Times New Roman" w:hAnsi="Times New Roman" w:cs="Times New Roman"/>
          <w:b/>
          <w:bCs/>
          <w:sz w:val="40"/>
          <w:szCs w:val="28"/>
        </w:rPr>
        <w:t xml:space="preserve">obustesse </w:t>
      </w:r>
      <w:r w:rsidRPr="00EC77E1">
        <w:rPr>
          <w:rFonts w:ascii="Times New Roman" w:hAnsi="Times New Roman" w:cs="Times New Roman"/>
          <w:b/>
          <w:bCs/>
          <w:sz w:val="40"/>
          <w:szCs w:val="28"/>
        </w:rPr>
        <w:t>des</w:t>
      </w:r>
      <w:r>
        <w:rPr>
          <w:rFonts w:ascii="Times New Roman" w:hAnsi="Times New Roman" w:cs="Times New Roman"/>
          <w:b/>
          <w:bCs/>
          <w:sz w:val="40"/>
          <w:szCs w:val="28"/>
        </w:rPr>
        <w:t xml:space="preserve"> Systèmes  de Reconnaissance </w:t>
      </w:r>
      <w:r w:rsidRPr="00EC77E1">
        <w:rPr>
          <w:rFonts w:ascii="Times New Roman" w:hAnsi="Times New Roman" w:cs="Times New Roman"/>
          <w:b/>
          <w:bCs/>
          <w:sz w:val="40"/>
          <w:szCs w:val="28"/>
        </w:rPr>
        <w:t>Automatique du Locuteur</w:t>
      </w:r>
    </w:p>
    <w:p w:rsidR="00A965C4" w:rsidRDefault="00A965C4" w:rsidP="00A965C4">
      <w:pPr>
        <w:autoSpaceDE w:val="0"/>
        <w:autoSpaceDN w:val="0"/>
        <w:adjustRightInd w:val="0"/>
        <w:spacing w:after="0"/>
        <w:jc w:val="center"/>
        <w:rPr>
          <w:rFonts w:asciiTheme="majorBidi" w:hAnsiTheme="majorBidi" w:cstheme="majorBidi"/>
          <w:b/>
          <w:sz w:val="28"/>
          <w:szCs w:val="32"/>
        </w:rPr>
      </w:pPr>
      <w:r>
        <w:rPr>
          <w:rFonts w:asciiTheme="majorBidi" w:hAnsiTheme="majorBidi" w:cstheme="majorBidi"/>
          <w:b/>
          <w:sz w:val="28"/>
          <w:szCs w:val="32"/>
        </w:rPr>
        <w:t>FEDILA  Meriem</w:t>
      </w:r>
    </w:p>
    <w:p w:rsidR="00A965C4" w:rsidRDefault="00A965C4" w:rsidP="00A965C4">
      <w:pPr>
        <w:autoSpaceDE w:val="0"/>
        <w:autoSpaceDN w:val="0"/>
        <w:adjustRightInd w:val="0"/>
        <w:spacing w:after="0"/>
        <w:jc w:val="center"/>
        <w:rPr>
          <w:rFonts w:asciiTheme="majorBidi" w:hAnsiTheme="majorBidi" w:cstheme="majorBidi"/>
          <w:b/>
          <w:sz w:val="28"/>
          <w:szCs w:val="32"/>
        </w:rPr>
      </w:pPr>
    </w:p>
    <w:p w:rsidR="00A965C4" w:rsidRPr="003D396F" w:rsidRDefault="00A965C4" w:rsidP="00A965C4">
      <w:pPr>
        <w:autoSpaceDE w:val="0"/>
        <w:autoSpaceDN w:val="0"/>
        <w:adjustRightInd w:val="0"/>
        <w:spacing w:after="0"/>
        <w:jc w:val="center"/>
        <w:rPr>
          <w:rFonts w:asciiTheme="majorBidi" w:hAnsiTheme="majorBidi" w:cstheme="majorBidi"/>
          <w:sz w:val="28"/>
          <w:szCs w:val="32"/>
        </w:rPr>
      </w:pPr>
      <w:r w:rsidRPr="003D396F">
        <w:rPr>
          <w:rFonts w:asciiTheme="majorBidi" w:hAnsiTheme="majorBidi" w:cstheme="majorBidi"/>
          <w:b/>
          <w:sz w:val="28"/>
          <w:szCs w:val="32"/>
        </w:rPr>
        <w:t>Résumé</w:t>
      </w:r>
    </w:p>
    <w:p w:rsidR="0052511E" w:rsidRDefault="0052511E" w:rsidP="0052511E">
      <w:pPr>
        <w:autoSpaceDE w:val="0"/>
        <w:autoSpaceDN w:val="0"/>
        <w:adjustRightInd w:val="0"/>
        <w:jc w:val="both"/>
        <w:rPr>
          <w:rFonts w:asciiTheme="majorBidi" w:hAnsiTheme="majorBidi" w:cstheme="majorBidi"/>
          <w:szCs w:val="24"/>
        </w:rPr>
      </w:pPr>
      <w:r>
        <w:rPr>
          <w:rFonts w:asciiTheme="majorBidi" w:hAnsiTheme="majorBidi" w:cstheme="majorBidi"/>
          <w:szCs w:val="24"/>
        </w:rPr>
        <w:t xml:space="preserve">Le travail de cette thèse propose d’améliorer la robustesse des systèmes de Reconnaissance Automatique du Locuteur pour les </w:t>
      </w:r>
      <w:r>
        <w:rPr>
          <w:rFonts w:asciiTheme="majorBidi" w:eastAsia="PalatinoLinotype" w:hAnsiTheme="majorBidi" w:cstheme="majorBidi"/>
          <w:szCs w:val="24"/>
        </w:rPr>
        <w:t xml:space="preserve">applications en environnement réel, où les </w:t>
      </w:r>
      <w:r>
        <w:rPr>
          <w:rFonts w:asciiTheme="majorBidi" w:hAnsiTheme="majorBidi" w:cstheme="majorBidi"/>
          <w:szCs w:val="24"/>
        </w:rPr>
        <w:t xml:space="preserve">conditions ne sont pas contrôlées. Deux contributions ont été développées : i) La première concerne la proposition de nouveaux paramètres, exploitant la relation symbiotique entre la phase à court terme, le spectre d'amplitude et les bancs de filtres </w:t>
      </w:r>
      <w:proofErr w:type="spellStart"/>
      <w:r>
        <w:rPr>
          <w:rFonts w:asciiTheme="majorBidi" w:hAnsiTheme="majorBidi" w:cstheme="majorBidi"/>
          <w:szCs w:val="24"/>
        </w:rPr>
        <w:t>Gammatones</w:t>
      </w:r>
      <w:proofErr w:type="spellEnd"/>
      <w:r>
        <w:rPr>
          <w:rFonts w:asciiTheme="majorBidi" w:hAnsiTheme="majorBidi" w:cstheme="majorBidi"/>
          <w:szCs w:val="24"/>
        </w:rPr>
        <w:t>. Ces nouveaux paramètres, appelés GPSCC (</w:t>
      </w:r>
      <w:proofErr w:type="spellStart"/>
      <w:r>
        <w:rPr>
          <w:rFonts w:asciiTheme="majorBidi" w:hAnsiTheme="majorBidi" w:cstheme="majorBidi"/>
          <w:szCs w:val="24"/>
        </w:rPr>
        <w:t>Gammatone</w:t>
      </w:r>
      <w:proofErr w:type="spellEnd"/>
      <w:r>
        <w:rPr>
          <w:rFonts w:asciiTheme="majorBidi" w:hAnsiTheme="majorBidi" w:cstheme="majorBidi"/>
          <w:szCs w:val="24"/>
        </w:rPr>
        <w:t xml:space="preserve"> Product Spectrum </w:t>
      </w:r>
      <w:proofErr w:type="spellStart"/>
      <w:r>
        <w:rPr>
          <w:rFonts w:asciiTheme="majorBidi" w:hAnsiTheme="majorBidi" w:cstheme="majorBidi"/>
          <w:szCs w:val="24"/>
        </w:rPr>
        <w:t>Cepstral</w:t>
      </w:r>
      <w:proofErr w:type="spellEnd"/>
      <w:r>
        <w:rPr>
          <w:rFonts w:asciiTheme="majorBidi" w:hAnsiTheme="majorBidi" w:cstheme="majorBidi"/>
          <w:szCs w:val="24"/>
        </w:rPr>
        <w:t xml:space="preserve"> Coefficients), ont été testés sur la base de données TIMIT en utilisant les Modèles de Mélange de Gaussiennes GMM. Ces paramètres présentent une grande robustesse à des conditions de bruit sévères, et de même pour un environnement mobile, avec une réduction d'erreur absolue de 12% par rapport à l’utilisation des paramètres de référence MFCC. ii) D’autre part, nous avons implémenté une nouvelle technique de détection d’activité vocale VAD basée sur l’utilisation des Support Vecteur Machine SVM. La méthode proposée, nommée LSVM-VAD présente de bonnes performances comparativement aux récents systèmes présentés dans le concours ICB2013 SRE (Speaker Recognition Evaluation) sur la base de données MOBIO en utilisant la technique  I-vecteur.</w:t>
      </w:r>
    </w:p>
    <w:sectPr w:rsidR="0052511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PalatinoLinotype">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65C4"/>
    <w:rsid w:val="00231D53"/>
    <w:rsid w:val="003D4528"/>
    <w:rsid w:val="004D072B"/>
    <w:rsid w:val="0052511E"/>
    <w:rsid w:val="008C2EBD"/>
    <w:rsid w:val="00A965C4"/>
    <w:rsid w:val="00B1275B"/>
    <w:rsid w:val="00FC4D75"/>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65C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65C4"/>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188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209</Words>
  <Characters>1153</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b-13</cp:lastModifiedBy>
  <cp:revision>5</cp:revision>
  <dcterms:created xsi:type="dcterms:W3CDTF">2018-12-25T06:58:00Z</dcterms:created>
  <dcterms:modified xsi:type="dcterms:W3CDTF">2019-05-22T11:43:00Z</dcterms:modified>
</cp:coreProperties>
</file>