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40358" w:rsidRDefault="00240358" w:rsidP="00240358">
      <w:pPr>
        <w:autoSpaceDE w:val="0"/>
        <w:autoSpaceDN w:val="0"/>
        <w:adjustRightInd w:val="0"/>
        <w:spacing w:after="0" w:line="240" w:lineRule="auto"/>
        <w:rPr>
          <w:rFonts w:ascii="dcr10" w:hAnsi="dcr10" w:cs="dcr10"/>
        </w:rPr>
      </w:pPr>
    </w:p>
    <w:p w:rsidR="00240358" w:rsidRPr="00240358" w:rsidRDefault="00240358" w:rsidP="00240358">
      <w:pPr>
        <w:autoSpaceDE w:val="0"/>
        <w:autoSpaceDN w:val="0"/>
        <w:adjustRightInd w:val="0"/>
        <w:spacing w:after="0" w:line="240" w:lineRule="auto"/>
        <w:jc w:val="center"/>
        <w:rPr>
          <w:rFonts w:ascii="dcr10" w:hAnsi="dcr10" w:cs="dcr10"/>
          <w:sz w:val="36"/>
          <w:szCs w:val="36"/>
        </w:rPr>
      </w:pPr>
      <w:r w:rsidRPr="00240358">
        <w:rPr>
          <w:rFonts w:ascii="dcr10" w:hAnsi="dcr10" w:cs="dcr10"/>
          <w:sz w:val="36"/>
          <w:szCs w:val="36"/>
        </w:rPr>
        <w:t>Contribution à l’étude de la structure des noyaux</w:t>
      </w:r>
    </w:p>
    <w:p w:rsidR="00240358" w:rsidRPr="00240358" w:rsidRDefault="00240358" w:rsidP="00240358">
      <w:pPr>
        <w:autoSpaceDE w:val="0"/>
        <w:autoSpaceDN w:val="0"/>
        <w:adjustRightInd w:val="0"/>
        <w:spacing w:after="0" w:line="240" w:lineRule="auto"/>
        <w:jc w:val="center"/>
        <w:rPr>
          <w:rFonts w:ascii="dcr10" w:hAnsi="dcr10" w:cs="dcr10"/>
          <w:sz w:val="36"/>
          <w:szCs w:val="36"/>
        </w:rPr>
      </w:pPr>
      <w:r>
        <w:rPr>
          <w:rFonts w:ascii="dcr10" w:hAnsi="dcr10" w:cs="dcr10"/>
          <w:sz w:val="36"/>
          <w:szCs w:val="36"/>
        </w:rPr>
        <w:t>s</w:t>
      </w:r>
      <w:r w:rsidRPr="00240358">
        <w:rPr>
          <w:rFonts w:ascii="dcr10" w:hAnsi="dcr10" w:cs="dcr10"/>
          <w:sz w:val="36"/>
          <w:szCs w:val="36"/>
        </w:rPr>
        <w:t>uper</w:t>
      </w:r>
      <w:r>
        <w:rPr>
          <w:rFonts w:ascii="dcr10" w:hAnsi="dcr10" w:cs="dcr10"/>
          <w:sz w:val="36"/>
          <w:szCs w:val="36"/>
        </w:rPr>
        <w:t xml:space="preserve"> </w:t>
      </w:r>
      <w:r w:rsidRPr="00240358">
        <w:rPr>
          <w:rFonts w:ascii="dcr10" w:hAnsi="dcr10" w:cs="dcr10"/>
          <w:sz w:val="36"/>
          <w:szCs w:val="36"/>
        </w:rPr>
        <w:t xml:space="preserve">lourds par la théorie de Hartree-Fock-Bogoliubov </w:t>
      </w:r>
      <w:r w:rsidRPr="00240358">
        <w:rPr>
          <w:rFonts w:ascii="cmsy10" w:hAnsi="cmsy10" w:cs="cmsy10"/>
          <w:sz w:val="36"/>
          <w:szCs w:val="36"/>
        </w:rPr>
        <w:t>¤</w:t>
      </w:r>
    </w:p>
    <w:p w:rsidR="00240358" w:rsidRDefault="00240358" w:rsidP="00240358">
      <w:pPr>
        <w:autoSpaceDE w:val="0"/>
        <w:autoSpaceDN w:val="0"/>
        <w:adjustRightInd w:val="0"/>
        <w:spacing w:after="0" w:line="240" w:lineRule="auto"/>
        <w:jc w:val="center"/>
        <w:rPr>
          <w:rFonts w:ascii="cmsy10" w:hAnsi="cmsy10" w:cs="cmsy10"/>
          <w:sz w:val="20"/>
          <w:szCs w:val="20"/>
        </w:rPr>
      </w:pPr>
      <w:r>
        <w:rPr>
          <w:rFonts w:ascii="dcr10" w:hAnsi="dcr10" w:cs="dcr10"/>
          <w:sz w:val="29"/>
          <w:szCs w:val="29"/>
        </w:rPr>
        <w:t xml:space="preserve">HAMZA Yacine </w:t>
      </w:r>
      <w:r>
        <w:rPr>
          <w:rFonts w:ascii="cmsy10" w:hAnsi="cmsy10" w:cs="cmsy10"/>
          <w:sz w:val="20"/>
          <w:szCs w:val="20"/>
        </w:rPr>
        <w:t>y</w:t>
      </w:r>
    </w:p>
    <w:p w:rsidR="00240358" w:rsidRDefault="00240358" w:rsidP="00240358">
      <w:pPr>
        <w:autoSpaceDE w:val="0"/>
        <w:autoSpaceDN w:val="0"/>
        <w:adjustRightInd w:val="0"/>
        <w:spacing w:after="0" w:line="240" w:lineRule="auto"/>
        <w:jc w:val="center"/>
        <w:rPr>
          <w:rFonts w:ascii="dcr10" w:hAnsi="dcr10" w:cs="dcr10"/>
          <w:sz w:val="29"/>
          <w:szCs w:val="29"/>
        </w:rPr>
      </w:pPr>
      <w:r>
        <w:rPr>
          <w:rFonts w:ascii="dcr10" w:hAnsi="dcr10" w:cs="dcr10"/>
          <w:sz w:val="29"/>
          <w:szCs w:val="29"/>
        </w:rPr>
        <w:t>Laboratoire de Physique Théorique</w:t>
      </w:r>
    </w:p>
    <w:p w:rsidR="00240358" w:rsidRDefault="00240358" w:rsidP="00240358">
      <w:pPr>
        <w:autoSpaceDE w:val="0"/>
        <w:autoSpaceDN w:val="0"/>
        <w:adjustRightInd w:val="0"/>
        <w:spacing w:after="0" w:line="240" w:lineRule="auto"/>
        <w:jc w:val="center"/>
        <w:rPr>
          <w:rFonts w:ascii="dcr10" w:hAnsi="dcr10" w:cs="dcr10"/>
          <w:sz w:val="29"/>
          <w:szCs w:val="29"/>
        </w:rPr>
      </w:pPr>
      <w:r>
        <w:rPr>
          <w:rFonts w:ascii="dcr10" w:hAnsi="dcr10" w:cs="dcr10"/>
          <w:sz w:val="29"/>
          <w:szCs w:val="29"/>
        </w:rPr>
        <w:t>Faculté de Physique</w:t>
      </w:r>
    </w:p>
    <w:p w:rsidR="00240358" w:rsidRDefault="00240358" w:rsidP="00240358">
      <w:pPr>
        <w:autoSpaceDE w:val="0"/>
        <w:autoSpaceDN w:val="0"/>
        <w:adjustRightInd w:val="0"/>
        <w:spacing w:after="0" w:line="240" w:lineRule="auto"/>
        <w:jc w:val="center"/>
        <w:rPr>
          <w:rFonts w:ascii="dcr10" w:hAnsi="dcr10" w:cs="dcr10"/>
          <w:sz w:val="29"/>
          <w:szCs w:val="29"/>
        </w:rPr>
      </w:pPr>
      <w:r>
        <w:rPr>
          <w:rFonts w:ascii="dcr10" w:hAnsi="dcr10" w:cs="dcr10"/>
          <w:sz w:val="29"/>
          <w:szCs w:val="29"/>
        </w:rPr>
        <w:t>USTHB</w:t>
      </w:r>
    </w:p>
    <w:p w:rsidR="00240358" w:rsidRDefault="00240358" w:rsidP="00240358">
      <w:pPr>
        <w:autoSpaceDE w:val="0"/>
        <w:autoSpaceDN w:val="0"/>
        <w:adjustRightInd w:val="0"/>
        <w:spacing w:after="0" w:line="240" w:lineRule="auto"/>
        <w:jc w:val="center"/>
        <w:rPr>
          <w:rFonts w:ascii="dcr10" w:hAnsi="dcr10" w:cs="dcr10"/>
          <w:sz w:val="29"/>
          <w:szCs w:val="29"/>
        </w:rPr>
      </w:pPr>
    </w:p>
    <w:p w:rsidR="00240358" w:rsidRDefault="00240358" w:rsidP="00240358">
      <w:pPr>
        <w:autoSpaceDE w:val="0"/>
        <w:autoSpaceDN w:val="0"/>
        <w:adjustRightInd w:val="0"/>
        <w:spacing w:after="0" w:line="240" w:lineRule="auto"/>
        <w:jc w:val="center"/>
        <w:rPr>
          <w:rFonts w:ascii="dcr10" w:hAnsi="dcr10" w:cs="dcr10"/>
          <w:sz w:val="20"/>
          <w:szCs w:val="20"/>
        </w:rPr>
      </w:pPr>
    </w:p>
    <w:p w:rsidR="00240358" w:rsidRDefault="00240358" w:rsidP="00240358">
      <w:pPr>
        <w:autoSpaceDE w:val="0"/>
        <w:autoSpaceDN w:val="0"/>
        <w:adjustRightInd w:val="0"/>
        <w:spacing w:after="0" w:line="240" w:lineRule="auto"/>
        <w:rPr>
          <w:rFonts w:ascii="dcr10" w:hAnsi="dcr10" w:cs="dcr10"/>
        </w:rPr>
      </w:pPr>
    </w:p>
    <w:p w:rsidR="00240358" w:rsidRDefault="00240358" w:rsidP="00240358">
      <w:pPr>
        <w:autoSpaceDE w:val="0"/>
        <w:autoSpaceDN w:val="0"/>
        <w:adjustRightInd w:val="0"/>
        <w:spacing w:after="0" w:line="240" w:lineRule="auto"/>
        <w:jc w:val="center"/>
        <w:rPr>
          <w:rFonts w:ascii="dcbx10" w:hAnsi="dcbx10" w:cs="dcbx10"/>
          <w:sz w:val="20"/>
          <w:szCs w:val="20"/>
        </w:rPr>
      </w:pPr>
      <w:r>
        <w:rPr>
          <w:rFonts w:ascii="dcbx10" w:hAnsi="dcbx10" w:cs="dcbx10"/>
        </w:rPr>
        <w:t>Résumé</w:t>
      </w:r>
    </w:p>
    <w:p w:rsidR="00240358" w:rsidRDefault="00240358" w:rsidP="00240358">
      <w:pPr>
        <w:autoSpaceDE w:val="0"/>
        <w:autoSpaceDN w:val="0"/>
        <w:adjustRightInd w:val="0"/>
        <w:spacing w:after="0" w:line="240" w:lineRule="auto"/>
        <w:rPr>
          <w:rFonts w:ascii="dcr10" w:hAnsi="dcr10" w:cs="dcr10"/>
        </w:rPr>
      </w:pPr>
    </w:p>
    <w:p w:rsidR="00240358" w:rsidRPr="00240358" w:rsidRDefault="00240358" w:rsidP="00240358">
      <w:pPr>
        <w:autoSpaceDE w:val="0"/>
        <w:autoSpaceDN w:val="0"/>
        <w:adjustRightInd w:val="0"/>
        <w:spacing w:after="0" w:line="240" w:lineRule="auto"/>
        <w:rPr>
          <w:rFonts w:ascii="dcr10" w:hAnsi="dcr10" w:cs="dcr10"/>
          <w:sz w:val="24"/>
          <w:szCs w:val="24"/>
        </w:rPr>
      </w:pPr>
      <w:r w:rsidRPr="00240358">
        <w:rPr>
          <w:rFonts w:ascii="dcr10" w:hAnsi="dcr10" w:cs="dcr10"/>
          <w:sz w:val="24"/>
          <w:szCs w:val="24"/>
        </w:rPr>
        <w:t xml:space="preserve">La structure des noyaux </w:t>
      </w:r>
      <w:r>
        <w:rPr>
          <w:rFonts w:ascii="dcr10" w:hAnsi="dcr10" w:cs="dcr10"/>
          <w:sz w:val="24"/>
          <w:szCs w:val="24"/>
        </w:rPr>
        <w:t xml:space="preserve">super </w:t>
      </w:r>
      <w:r w:rsidRPr="00240358">
        <w:rPr>
          <w:rFonts w:ascii="dcr10" w:hAnsi="dcr10" w:cs="dcr10"/>
          <w:sz w:val="24"/>
          <w:szCs w:val="24"/>
        </w:rPr>
        <w:t>lourds situés loin de la vallée de stabilité est étudiée en</w:t>
      </w:r>
    </w:p>
    <w:p w:rsidR="00240358" w:rsidRPr="00240358" w:rsidRDefault="00240358" w:rsidP="00240358">
      <w:pPr>
        <w:autoSpaceDE w:val="0"/>
        <w:autoSpaceDN w:val="0"/>
        <w:adjustRightInd w:val="0"/>
        <w:spacing w:after="0" w:line="240" w:lineRule="auto"/>
        <w:rPr>
          <w:rFonts w:ascii="dcr10" w:hAnsi="dcr10" w:cs="dcr10"/>
          <w:sz w:val="24"/>
          <w:szCs w:val="24"/>
        </w:rPr>
      </w:pPr>
      <w:r w:rsidRPr="00240358">
        <w:rPr>
          <w:rFonts w:ascii="dcr10" w:hAnsi="dcr10" w:cs="dcr10"/>
          <w:sz w:val="24"/>
          <w:szCs w:val="24"/>
        </w:rPr>
        <w:t>utilisant la théorie de Hartree-Fock-Bogoliubov (HFB). L’approche utilisée est basée sur</w:t>
      </w:r>
    </w:p>
    <w:p w:rsidR="00240358" w:rsidRPr="00240358" w:rsidRDefault="00240358" w:rsidP="00240358">
      <w:pPr>
        <w:autoSpaceDE w:val="0"/>
        <w:autoSpaceDN w:val="0"/>
        <w:adjustRightInd w:val="0"/>
        <w:spacing w:after="0" w:line="240" w:lineRule="auto"/>
        <w:rPr>
          <w:rFonts w:ascii="dcr10" w:hAnsi="dcr10" w:cs="dcr10"/>
          <w:sz w:val="24"/>
          <w:szCs w:val="24"/>
        </w:rPr>
      </w:pPr>
      <w:r w:rsidRPr="00240358">
        <w:rPr>
          <w:rFonts w:ascii="dcr10" w:hAnsi="dcr10" w:cs="dcr10"/>
          <w:sz w:val="24"/>
          <w:szCs w:val="24"/>
        </w:rPr>
        <w:t>une fonctionnelle de la densité d’énergie formulée en termes de l’interaction e¤ective de</w:t>
      </w:r>
    </w:p>
    <w:p w:rsidR="00240358" w:rsidRPr="00240358" w:rsidRDefault="00240358" w:rsidP="00240358">
      <w:pPr>
        <w:autoSpaceDE w:val="0"/>
        <w:autoSpaceDN w:val="0"/>
        <w:adjustRightInd w:val="0"/>
        <w:spacing w:after="0" w:line="240" w:lineRule="auto"/>
        <w:rPr>
          <w:rFonts w:ascii="dcr10" w:hAnsi="dcr10" w:cs="dcr10"/>
          <w:sz w:val="24"/>
          <w:szCs w:val="24"/>
        </w:rPr>
      </w:pPr>
      <w:r w:rsidRPr="00240358">
        <w:rPr>
          <w:rFonts w:ascii="dcr10" w:hAnsi="dcr10" w:cs="dcr10"/>
          <w:sz w:val="24"/>
          <w:szCs w:val="24"/>
        </w:rPr>
        <w:t>Skyrme et l’interaction coulombienne. Les corrélations d’appariement sont incluses sous</w:t>
      </w:r>
    </w:p>
    <w:p w:rsidR="00240358" w:rsidRPr="00240358" w:rsidRDefault="00240358" w:rsidP="00240358">
      <w:pPr>
        <w:autoSpaceDE w:val="0"/>
        <w:autoSpaceDN w:val="0"/>
        <w:adjustRightInd w:val="0"/>
        <w:spacing w:after="0" w:line="240" w:lineRule="auto"/>
        <w:rPr>
          <w:rFonts w:ascii="dcr10" w:hAnsi="dcr10" w:cs="dcr10"/>
          <w:sz w:val="24"/>
          <w:szCs w:val="24"/>
        </w:rPr>
      </w:pPr>
      <w:r w:rsidRPr="00240358">
        <w:rPr>
          <w:rFonts w:ascii="dcr10" w:hAnsi="dcr10" w:cs="dcr10"/>
          <w:sz w:val="24"/>
          <w:szCs w:val="24"/>
        </w:rPr>
        <w:t>la forme d’une force delta dépendante de la densité. La symétrie associée au nombre de</w:t>
      </w:r>
    </w:p>
    <w:p w:rsidR="00240358" w:rsidRPr="00240358" w:rsidRDefault="00240358" w:rsidP="00240358">
      <w:pPr>
        <w:autoSpaceDE w:val="0"/>
        <w:autoSpaceDN w:val="0"/>
        <w:adjustRightInd w:val="0"/>
        <w:spacing w:after="0" w:line="240" w:lineRule="auto"/>
        <w:rPr>
          <w:rFonts w:ascii="dcr10" w:hAnsi="dcr10" w:cs="dcr10"/>
          <w:sz w:val="24"/>
          <w:szCs w:val="24"/>
        </w:rPr>
      </w:pPr>
      <w:r w:rsidRPr="00240358">
        <w:rPr>
          <w:rFonts w:ascii="dcr10" w:hAnsi="dcr10" w:cs="dcr10"/>
          <w:sz w:val="24"/>
          <w:szCs w:val="24"/>
        </w:rPr>
        <w:t>particules, brisée par la théorie HFB, est restaurée par la méthode de Lipkin-Nogami.</w:t>
      </w:r>
    </w:p>
    <w:p w:rsidR="00240358" w:rsidRDefault="00240358" w:rsidP="00240358">
      <w:pPr>
        <w:autoSpaceDE w:val="0"/>
        <w:autoSpaceDN w:val="0"/>
        <w:adjustRightInd w:val="0"/>
        <w:spacing w:after="0" w:line="240" w:lineRule="auto"/>
        <w:rPr>
          <w:rFonts w:ascii="cmr10" w:hAnsi="cmr10" w:cs="cmr10"/>
          <w:sz w:val="24"/>
          <w:szCs w:val="24"/>
        </w:rPr>
      </w:pPr>
      <w:r w:rsidRPr="00240358">
        <w:rPr>
          <w:rFonts w:ascii="dcr10" w:hAnsi="dcr10" w:cs="dcr10"/>
          <w:sz w:val="24"/>
          <w:szCs w:val="24"/>
        </w:rPr>
        <w:t xml:space="preserve">Les calculs numériques ont été réalisés pour plusieurs séries d’isotopes </w:t>
      </w:r>
      <w:r w:rsidRPr="00240358">
        <w:rPr>
          <w:rFonts w:ascii="cmr10" w:hAnsi="cmr10" w:cs="cmr10"/>
          <w:sz w:val="24"/>
          <w:szCs w:val="24"/>
        </w:rPr>
        <w:t xml:space="preserve">(110 </w:t>
      </w:r>
      <w:r w:rsidRPr="00240358">
        <w:rPr>
          <w:rFonts w:ascii="cmsy10" w:hAnsi="cmsy10" w:cs="cmsy10"/>
          <w:sz w:val="24"/>
          <w:szCs w:val="24"/>
        </w:rPr>
        <w:t xml:space="preserve">· </w:t>
      </w:r>
      <w:r w:rsidRPr="00240358">
        <w:rPr>
          <w:rFonts w:ascii="cmmi10" w:hAnsi="cmmi10" w:cs="cmmi10"/>
          <w:sz w:val="24"/>
          <w:szCs w:val="24"/>
        </w:rPr>
        <w:t></w:t>
      </w:r>
      <w:r w:rsidRPr="00240358">
        <w:rPr>
          <w:rFonts w:ascii="cmmi10" w:hAnsi="cmmi10" w:cs="cmmi10"/>
          <w:sz w:val="24"/>
          <w:szCs w:val="24"/>
        </w:rPr>
        <w:t></w:t>
      </w:r>
      <w:r w:rsidRPr="00240358">
        <w:rPr>
          <w:rFonts w:ascii="cmsy10" w:hAnsi="cmsy10" w:cs="cmsy10"/>
          <w:sz w:val="24"/>
          <w:szCs w:val="24"/>
        </w:rPr>
        <w:t>·</w:t>
      </w:r>
      <w:r>
        <w:rPr>
          <w:rFonts w:ascii="cmsy10" w:hAnsi="cmsy10" w:cs="cmsy10"/>
          <w:sz w:val="24"/>
          <w:szCs w:val="24"/>
        </w:rPr>
        <w:t xml:space="preserve"> </w:t>
      </w:r>
      <w:r w:rsidRPr="00240358">
        <w:rPr>
          <w:rFonts w:ascii="cmr10" w:hAnsi="cmr10" w:cs="cmr10"/>
          <w:sz w:val="24"/>
          <w:szCs w:val="24"/>
        </w:rPr>
        <w:t>120)</w:t>
      </w:r>
    </w:p>
    <w:p w:rsidR="00240358" w:rsidRPr="00240358" w:rsidRDefault="00240358" w:rsidP="00240358">
      <w:pPr>
        <w:autoSpaceDE w:val="0"/>
        <w:autoSpaceDN w:val="0"/>
        <w:adjustRightInd w:val="0"/>
        <w:spacing w:after="0" w:line="240" w:lineRule="auto"/>
        <w:rPr>
          <w:rFonts w:ascii="cmsy10" w:hAnsi="cmsy10" w:cs="cmsy10"/>
          <w:sz w:val="24"/>
          <w:szCs w:val="24"/>
        </w:rPr>
      </w:pPr>
      <w:r w:rsidRPr="00240358">
        <w:rPr>
          <w:rFonts w:ascii="dcr10" w:hAnsi="dcr10" w:cs="dcr10"/>
          <w:sz w:val="24"/>
          <w:szCs w:val="24"/>
        </w:rPr>
        <w:t>pair-pairs riches en neutrons. Cette étude a permis de déterminer les di¤érentes</w:t>
      </w:r>
    </w:p>
    <w:p w:rsidR="00240358" w:rsidRPr="00240358" w:rsidRDefault="00240358" w:rsidP="00240358">
      <w:pPr>
        <w:autoSpaceDE w:val="0"/>
        <w:autoSpaceDN w:val="0"/>
        <w:adjustRightInd w:val="0"/>
        <w:spacing w:after="0" w:line="240" w:lineRule="auto"/>
        <w:rPr>
          <w:rFonts w:ascii="dcr10" w:hAnsi="dcr10" w:cs="dcr10"/>
          <w:sz w:val="24"/>
          <w:szCs w:val="24"/>
        </w:rPr>
      </w:pPr>
      <w:r w:rsidRPr="00240358">
        <w:rPr>
          <w:rFonts w:ascii="dcr10" w:hAnsi="dcr10" w:cs="dcr10"/>
          <w:sz w:val="24"/>
          <w:szCs w:val="24"/>
        </w:rPr>
        <w:t xml:space="preserve">propriétés des noyaux </w:t>
      </w:r>
      <w:r>
        <w:rPr>
          <w:rFonts w:ascii="dcr10" w:hAnsi="dcr10" w:cs="dcr10"/>
          <w:sz w:val="24"/>
          <w:szCs w:val="24"/>
        </w:rPr>
        <w:t xml:space="preserve">super </w:t>
      </w:r>
      <w:r w:rsidRPr="00240358">
        <w:rPr>
          <w:rFonts w:ascii="dcr10" w:hAnsi="dcr10" w:cs="dcr10"/>
          <w:sz w:val="24"/>
          <w:szCs w:val="24"/>
        </w:rPr>
        <w:t>lourds telles que l’énergie de liaison, l’énergie de séparation</w:t>
      </w:r>
    </w:p>
    <w:p w:rsidR="00240358" w:rsidRPr="00240358" w:rsidRDefault="00240358" w:rsidP="00240358">
      <w:pPr>
        <w:autoSpaceDE w:val="0"/>
        <w:autoSpaceDN w:val="0"/>
        <w:adjustRightInd w:val="0"/>
        <w:spacing w:after="0" w:line="240" w:lineRule="auto"/>
        <w:rPr>
          <w:rFonts w:ascii="dcr10" w:hAnsi="dcr10" w:cs="dcr10"/>
          <w:sz w:val="24"/>
          <w:szCs w:val="24"/>
        </w:rPr>
      </w:pPr>
      <w:r w:rsidRPr="00240358">
        <w:rPr>
          <w:rFonts w:ascii="dcr10" w:hAnsi="dcr10" w:cs="dcr10"/>
          <w:sz w:val="24"/>
          <w:szCs w:val="24"/>
        </w:rPr>
        <w:t>de deux neutrons, la déformation et le rayon quadratique moyen. Un intérêt particulier</w:t>
      </w:r>
    </w:p>
    <w:p w:rsidR="00240358" w:rsidRPr="00240358" w:rsidRDefault="00240358" w:rsidP="00240358">
      <w:pPr>
        <w:autoSpaceDE w:val="0"/>
        <w:autoSpaceDN w:val="0"/>
        <w:adjustRightInd w:val="0"/>
        <w:spacing w:after="0" w:line="240" w:lineRule="auto"/>
        <w:rPr>
          <w:rFonts w:ascii="dcr10" w:hAnsi="dcr10" w:cs="dcr10"/>
          <w:sz w:val="24"/>
          <w:szCs w:val="24"/>
        </w:rPr>
      </w:pPr>
      <w:r w:rsidRPr="00240358">
        <w:rPr>
          <w:rFonts w:ascii="dcr10" w:hAnsi="dcr10" w:cs="dcr10"/>
          <w:sz w:val="24"/>
          <w:szCs w:val="24"/>
        </w:rPr>
        <w:t>a été accordé à l’étude de l’énergie et de la demi-vie de la désintégration alpha. En se</w:t>
      </w:r>
    </w:p>
    <w:p w:rsidR="00240358" w:rsidRPr="00240358" w:rsidRDefault="00240358" w:rsidP="00240358">
      <w:pPr>
        <w:autoSpaceDE w:val="0"/>
        <w:autoSpaceDN w:val="0"/>
        <w:adjustRightInd w:val="0"/>
        <w:spacing w:after="0" w:line="240" w:lineRule="auto"/>
        <w:rPr>
          <w:rFonts w:ascii="dcr10" w:hAnsi="dcr10" w:cs="dcr10"/>
          <w:sz w:val="24"/>
          <w:szCs w:val="24"/>
        </w:rPr>
      </w:pPr>
      <w:r w:rsidRPr="00240358">
        <w:rPr>
          <w:rFonts w:ascii="dcr10" w:hAnsi="dcr10" w:cs="dcr10"/>
          <w:sz w:val="24"/>
          <w:szCs w:val="24"/>
        </w:rPr>
        <w:t>basant sur la formule de Viola-Seaborg-Sobiczewski, la possibilité d’une stabilité accrue</w:t>
      </w:r>
    </w:p>
    <w:p w:rsidR="00240358" w:rsidRPr="00240358" w:rsidRDefault="00240358" w:rsidP="00240358">
      <w:pPr>
        <w:autoSpaceDE w:val="0"/>
        <w:autoSpaceDN w:val="0"/>
        <w:adjustRightInd w:val="0"/>
        <w:spacing w:after="0" w:line="240" w:lineRule="auto"/>
        <w:rPr>
          <w:rFonts w:ascii="dcr10" w:hAnsi="dcr10" w:cs="dcr10"/>
          <w:sz w:val="24"/>
          <w:szCs w:val="24"/>
        </w:rPr>
      </w:pPr>
      <w:r w:rsidRPr="00240358">
        <w:rPr>
          <w:rFonts w:ascii="dcr10" w:hAnsi="dcr10" w:cs="dcr10"/>
          <w:sz w:val="24"/>
          <w:szCs w:val="24"/>
        </w:rPr>
        <w:t>des noyaux d’intérêt a été envisagée. Il a été con…rmé en particulier que, N=184 est un</w:t>
      </w:r>
    </w:p>
    <w:p w:rsidR="00240358" w:rsidRPr="00240358" w:rsidRDefault="00240358" w:rsidP="00240358">
      <w:pPr>
        <w:autoSpaceDE w:val="0"/>
        <w:autoSpaceDN w:val="0"/>
        <w:adjustRightInd w:val="0"/>
        <w:spacing w:after="0" w:line="240" w:lineRule="auto"/>
        <w:rPr>
          <w:rFonts w:ascii="dcr10" w:hAnsi="dcr10" w:cs="dcr10"/>
          <w:sz w:val="24"/>
          <w:szCs w:val="24"/>
        </w:rPr>
      </w:pPr>
      <w:r w:rsidRPr="00240358">
        <w:rPr>
          <w:rFonts w:ascii="dcr10" w:hAnsi="dcr10" w:cs="dcr10"/>
          <w:sz w:val="24"/>
          <w:szCs w:val="24"/>
        </w:rPr>
        <w:t xml:space="preserve">nombre magique neutron et qu’un </w:t>
      </w:r>
      <w:r w:rsidR="009C7968">
        <w:rPr>
          <w:rFonts w:ascii="dcr10" w:hAnsi="dcr10" w:cs="dcr10"/>
          <w:sz w:val="24"/>
          <w:szCs w:val="24"/>
        </w:rPr>
        <w:t>î</w:t>
      </w:r>
      <w:r w:rsidRPr="00240358">
        <w:rPr>
          <w:rFonts w:ascii="dcr10" w:hAnsi="dcr10" w:cs="dcr10"/>
          <w:sz w:val="24"/>
          <w:szCs w:val="24"/>
        </w:rPr>
        <w:t>lot de stabilité pourrait exister autour de la série</w:t>
      </w:r>
    </w:p>
    <w:p w:rsidR="00240358" w:rsidRPr="00240358" w:rsidRDefault="00240358" w:rsidP="00240358">
      <w:pPr>
        <w:autoSpaceDE w:val="0"/>
        <w:autoSpaceDN w:val="0"/>
        <w:adjustRightInd w:val="0"/>
        <w:spacing w:after="0" w:line="240" w:lineRule="auto"/>
        <w:rPr>
          <w:rFonts w:ascii="dcr10" w:hAnsi="dcr10" w:cs="dcr10"/>
          <w:sz w:val="24"/>
          <w:szCs w:val="24"/>
        </w:rPr>
      </w:pPr>
      <w:r w:rsidRPr="00240358">
        <w:rPr>
          <w:rFonts w:ascii="dcr10" w:hAnsi="dcr10" w:cs="dcr10"/>
          <w:sz w:val="24"/>
          <w:szCs w:val="24"/>
        </w:rPr>
        <w:t>isotonique correspondante.</w:t>
      </w:r>
    </w:p>
    <w:p w:rsidR="009C7968" w:rsidRDefault="009C7968"/>
    <w:p w:rsidR="00240358" w:rsidRDefault="00240358"/>
    <w:p w:rsidR="00240358" w:rsidRDefault="00240358"/>
    <w:p w:rsidR="00240358" w:rsidRDefault="00240358"/>
    <w:p w:rsidR="00240358" w:rsidRDefault="00240358"/>
    <w:p w:rsidR="00240358" w:rsidRDefault="00240358">
      <w:pPr>
        <w:pBdr>
          <w:bottom w:val="single" w:sz="6" w:space="1" w:color="auto"/>
        </w:pBdr>
      </w:pPr>
    </w:p>
    <w:p w:rsidR="00240358" w:rsidRPr="00240358" w:rsidRDefault="00240358" w:rsidP="00240358">
      <w:pPr>
        <w:autoSpaceDE w:val="0"/>
        <w:autoSpaceDN w:val="0"/>
        <w:adjustRightInd w:val="0"/>
        <w:spacing w:after="0" w:line="240" w:lineRule="auto"/>
        <w:rPr>
          <w:rFonts w:ascii="dcr10" w:hAnsi="dcr10" w:cs="dcr10"/>
          <w:sz w:val="24"/>
          <w:szCs w:val="24"/>
        </w:rPr>
      </w:pPr>
      <w:r w:rsidRPr="00240358">
        <w:rPr>
          <w:rFonts w:ascii="cmsy7" w:hAnsi="cmsy7" w:cs="cmsy7"/>
          <w:sz w:val="24"/>
          <w:szCs w:val="24"/>
        </w:rPr>
        <w:t xml:space="preserve">¤ </w:t>
      </w:r>
      <w:r w:rsidRPr="00240358">
        <w:rPr>
          <w:rFonts w:ascii="dcr10" w:hAnsi="dcr10" w:cs="dcr10"/>
          <w:sz w:val="24"/>
          <w:szCs w:val="24"/>
        </w:rPr>
        <w:t>Mémoire de Magiter</w:t>
      </w:r>
    </w:p>
    <w:p w:rsidR="00240358" w:rsidRDefault="00240358" w:rsidP="00240358">
      <w:pPr>
        <w:autoSpaceDE w:val="0"/>
        <w:autoSpaceDN w:val="0"/>
        <w:adjustRightInd w:val="0"/>
        <w:spacing w:after="0" w:line="240" w:lineRule="auto"/>
        <w:rPr>
          <w:rFonts w:ascii="cmsy7" w:hAnsi="cmsy7" w:cs="cmsy7"/>
          <w:sz w:val="20"/>
          <w:szCs w:val="20"/>
        </w:rPr>
      </w:pPr>
      <w:r w:rsidRPr="00240358">
        <w:rPr>
          <w:rFonts w:ascii="cmsy7" w:hAnsi="cmsy7" w:cs="cmsy7"/>
          <w:sz w:val="24"/>
          <w:szCs w:val="24"/>
        </w:rPr>
        <w:t>y</w:t>
      </w:r>
      <w:r w:rsidRPr="00240358">
        <w:rPr>
          <w:rFonts w:ascii="dcr10" w:hAnsi="dcr10" w:cs="dcr10"/>
          <w:sz w:val="24"/>
          <w:szCs w:val="24"/>
        </w:rPr>
        <w:t>Directeur de thèse : Dr. M.R. Oudih, Faculté de Physique, USTHB</w:t>
      </w:r>
    </w:p>
    <w:p w:rsidR="00240358" w:rsidRDefault="00240358"/>
    <w:sectPr w:rsidR="00240358" w:rsidSect="00546BEB">
      <w:pgSz w:w="12240" w:h="15840"/>
      <w:pgMar w:top="1417" w:right="1417" w:bottom="1417" w:left="1417" w:header="720" w:footer="72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dcr10">
    <w:panose1 w:val="020B0500000000000000"/>
    <w:charset w:val="00"/>
    <w:family w:val="swiss"/>
    <w:pitch w:val="variable"/>
    <w:sig w:usb0="00000003" w:usb1="00000000" w:usb2="00000000" w:usb3="00000000" w:csb0="00000001" w:csb1="00000000"/>
  </w:font>
  <w:font w:name="cmsy10">
    <w:panose1 w:val="020B0500000000000000"/>
    <w:charset w:val="00"/>
    <w:family w:val="swiss"/>
    <w:pitch w:val="variable"/>
    <w:sig w:usb0="00000003" w:usb1="00000000" w:usb2="00000000" w:usb3="00000000" w:csb0="00000001" w:csb1="00000000"/>
  </w:font>
  <w:font w:name="dcbx10">
    <w:panose1 w:val="020B0500000000000000"/>
    <w:charset w:val="00"/>
    <w:family w:val="swiss"/>
    <w:pitch w:val="variable"/>
    <w:sig w:usb0="00000003" w:usb1="00000000" w:usb2="00000000" w:usb3="00000000" w:csb0="00000001" w:csb1="00000000"/>
  </w:font>
  <w:font w:name="cmr10">
    <w:panose1 w:val="020B0500000000000000"/>
    <w:charset w:val="00"/>
    <w:family w:val="swiss"/>
    <w:pitch w:val="variable"/>
    <w:sig w:usb0="00000003" w:usb1="00000000" w:usb2="00000000" w:usb3="00000000" w:csb0="00000001" w:csb1="00000000"/>
  </w:font>
  <w:font w:name="cmmi10">
    <w:panose1 w:val="020B0500000000000000"/>
    <w:charset w:val="02"/>
    <w:family w:val="swiss"/>
    <w:pitch w:val="variable"/>
    <w:sig w:usb0="00000000" w:usb1="10000000" w:usb2="00000000" w:usb3="00000000" w:csb0="80000000" w:csb1="00000000"/>
  </w:font>
  <w:font w:name="cmsy7">
    <w:panose1 w:val="020B0500000000000000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40358"/>
    <w:rsid w:val="00240358"/>
    <w:rsid w:val="00722A05"/>
    <w:rsid w:val="0085160E"/>
    <w:rsid w:val="009C79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5160E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24035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24035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237</Words>
  <Characters>1309</Characters>
  <Application>Microsoft Office Word</Application>
  <DocSecurity>0</DocSecurity>
  <Lines>10</Lines>
  <Paragraphs>3</Paragraphs>
  <ScaleCrop>false</ScaleCrop>
  <Company/>
  <LinksUpToDate>false</LinksUpToDate>
  <CharactersWithSpaces>1543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etd</cp:lastModifiedBy>
  <cp:revision>3</cp:revision>
  <dcterms:created xsi:type="dcterms:W3CDTF">2012-05-03T08:04:00Z</dcterms:created>
  <dcterms:modified xsi:type="dcterms:W3CDTF">2012-05-06T22:11:00Z</dcterms:modified>
</cp:coreProperties>
</file>