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33A92" w:rsidRDefault="00433A92" w:rsidP="007546BE">
      <w:pPr>
        <w:kinsoku w:val="0"/>
        <w:overflowPunct w:val="0"/>
        <w:autoSpaceDE w:val="0"/>
        <w:autoSpaceDN w:val="0"/>
        <w:bidi w:val="0"/>
        <w:adjustRightInd w:val="0"/>
        <w:spacing w:after="0" w:line="200" w:lineRule="exact"/>
        <w:rPr>
          <w:rFonts w:ascii="Times New Roman" w:hAnsi="Times New Roman" w:cs="Times New Roman"/>
          <w:sz w:val="28"/>
          <w:szCs w:val="28"/>
        </w:rPr>
      </w:pPr>
    </w:p>
    <w:p w:rsidR="007021FD" w:rsidRDefault="007021FD" w:rsidP="00433A92">
      <w:pPr>
        <w:bidi w:val="0"/>
        <w:rPr>
          <w:rFonts w:ascii="Times New Roman" w:hAnsi="Times New Roman" w:cs="Times New Roman"/>
          <w:sz w:val="28"/>
          <w:szCs w:val="28"/>
        </w:rPr>
      </w:pPr>
    </w:p>
    <w:p w:rsidR="00277B0A" w:rsidRDefault="00277B0A" w:rsidP="007021FD">
      <w:pPr>
        <w:bidi w:val="0"/>
        <w:rPr>
          <w:rFonts w:ascii="Times New Roman" w:hAnsi="Times New Roman" w:cs="Times New Roman"/>
          <w:sz w:val="28"/>
          <w:szCs w:val="28"/>
        </w:rPr>
      </w:pPr>
    </w:p>
    <w:p w:rsidR="00404ED6" w:rsidRDefault="00404ED6" w:rsidP="00277B0A">
      <w:pPr>
        <w:bidi w:val="0"/>
        <w:jc w:val="both"/>
        <w:rPr>
          <w:rFonts w:ascii="Times New Roman" w:hAnsi="Times New Roman" w:cs="Times New Roman"/>
          <w:sz w:val="28"/>
          <w:szCs w:val="28"/>
        </w:rPr>
      </w:pPr>
    </w:p>
    <w:p w:rsidR="00404ED6" w:rsidRPr="00404ED6" w:rsidRDefault="00404ED6" w:rsidP="00404ED6">
      <w:pPr>
        <w:bidi w:val="0"/>
        <w:rPr>
          <w:rFonts w:ascii="Times New Roman" w:hAnsi="Times New Roman" w:cs="Times New Roman"/>
          <w:sz w:val="28"/>
          <w:szCs w:val="28"/>
        </w:rPr>
      </w:pPr>
      <w:r w:rsidRPr="00404ED6">
        <w:rPr>
          <w:rFonts w:ascii="Times New Roman" w:hAnsi="Times New Roman" w:cs="Times New Roman"/>
          <w:sz w:val="28"/>
          <w:szCs w:val="28"/>
        </w:rPr>
        <w:t>Notre travail avait comme objectif de rechercher l'importance des dystrophines, tout particulierement, de la Dp71 et des proteines qui leurs sont associees (DAPC), dans la plasticite structuro-fonctionnelle du SHNH. Cette etude a ete realisee sur des souris Balb/c et des souris deficientes en Dp71 (Dp71-nulle) et nous l'avons abordee, principalement, par des techniques biochimiques ("western-blot" et dosage immuno-enzymatique: EIA), d'hybridation "in-situ", d'histochimie et d'immunohistochimie.</w:t>
      </w:r>
    </w:p>
    <w:p w:rsidR="00404ED6" w:rsidRPr="00404ED6" w:rsidRDefault="00404ED6" w:rsidP="00404ED6">
      <w:pPr>
        <w:bidi w:val="0"/>
        <w:rPr>
          <w:rFonts w:ascii="Times New Roman" w:hAnsi="Times New Roman" w:cs="Times New Roman"/>
          <w:sz w:val="28"/>
          <w:szCs w:val="28"/>
        </w:rPr>
      </w:pPr>
      <w:r w:rsidRPr="00404ED6">
        <w:rPr>
          <w:rFonts w:ascii="Times New Roman" w:hAnsi="Times New Roman" w:cs="Times New Roman"/>
          <w:sz w:val="28"/>
          <w:szCs w:val="28"/>
        </w:rPr>
        <w:t>Les resultats que nous avons obtenus par "western-blot", indiquent que les structures du SHNH expriment la Dp71 et a un degre moindre la Dp140. Par immunohistochimie, nous avons localise la Dp71 dans les cellules endotheliales des parois vasculaires, mais aussi dans les expansions gliales (astrocytaires et pituicytaires) et la Dp140 dans les corps cellulaires des memes cellules gliales.</w:t>
      </w:r>
    </w:p>
    <w:p w:rsidR="00404ED6" w:rsidRPr="00404ED6" w:rsidRDefault="00404ED6" w:rsidP="00404ED6">
      <w:pPr>
        <w:bidi w:val="0"/>
        <w:rPr>
          <w:rFonts w:ascii="Times New Roman" w:hAnsi="Times New Roman" w:cs="Times New Roman"/>
          <w:sz w:val="28"/>
          <w:szCs w:val="28"/>
        </w:rPr>
      </w:pPr>
      <w:r w:rsidRPr="00404ED6">
        <w:rPr>
          <w:rFonts w:ascii="Times New Roman" w:hAnsi="Times New Roman" w:cs="Times New Roman"/>
          <w:sz w:val="28"/>
          <w:szCs w:val="28"/>
        </w:rPr>
        <w:t>Chez les souris Dp71-nulle, nous avons constate, d'une part une modification remarquable de la distribution des dystrophines, la Dp140 apparaissant dans les NMCs, et d'autre part un changement spectaculaire de l'aspect morphologique des expansions gliales. Ces dernieres paraissant largement detachees des capillaires sanguins. Par ailleurs, l'osmolalite des souris Dp71-nulle baisse.</w:t>
      </w:r>
    </w:p>
    <w:p w:rsidR="00404ED6" w:rsidRPr="00404ED6" w:rsidRDefault="00404ED6" w:rsidP="00404ED6">
      <w:pPr>
        <w:bidi w:val="0"/>
        <w:rPr>
          <w:rFonts w:ascii="Times New Roman" w:hAnsi="Times New Roman" w:cs="Times New Roman"/>
          <w:sz w:val="28"/>
          <w:szCs w:val="28"/>
        </w:rPr>
      </w:pPr>
      <w:r w:rsidRPr="00404ED6">
        <w:rPr>
          <w:rFonts w:ascii="Times New Roman" w:hAnsi="Times New Roman" w:cs="Times New Roman"/>
          <w:sz w:val="28"/>
          <w:szCs w:val="28"/>
        </w:rPr>
        <w:t>L'fexamen de la fonctionnalite du SHNH en absence de la Dp71, nous a permis de montrer que face a une stimulation osmotique, la reponse du SHNH de souris Dp71-nulle est differente de celle des souris Balb/c. En effet, huit jours de surcharge saline stimulent moins la synthese et davantage la secretion de l'AVP chez les souris mutantes comparativement aux temoins. Cependant, le maintien de l'etat d'hypoosmolalite chez les souris Dp71-nulle stimulees montre, d'une part l'integrite fonctionnelle du SHNH, et laisse suggerer, d'autre part l'etablissement d'un nouveau point de consigne d'osmoregulation, d'osmostat", dans l'hypothalamus de ces souris mutantes.</w:t>
      </w:r>
    </w:p>
    <w:p w:rsidR="00277B0A" w:rsidRPr="00404ED6" w:rsidRDefault="00404ED6" w:rsidP="00404ED6">
      <w:pPr>
        <w:bidi w:val="0"/>
        <w:rPr>
          <w:rFonts w:ascii="Times New Roman" w:hAnsi="Times New Roman" w:cs="Times New Roman"/>
          <w:sz w:val="28"/>
          <w:szCs w:val="28"/>
        </w:rPr>
      </w:pPr>
      <w:r w:rsidRPr="00404ED6">
        <w:rPr>
          <w:rFonts w:ascii="Times New Roman" w:hAnsi="Times New Roman" w:cs="Times New Roman"/>
          <w:sz w:val="28"/>
          <w:szCs w:val="28"/>
        </w:rPr>
        <w:t>Cette capacite de restaurer l'osmolalite que montrent les souris Dp71-nulle, suggere l'implication des elements du DAPC dans l'adaptation a l'absence de la Dp71. Ainsi, l'examen biochimique et immunohistochimique de l'expression et de la distribution des utrophines, du s-dystroglycane (s-DG) et de l'-Syntrophine (Syn), dans les structures du SHNH des deux souches de souris, nous ont permis de reveler, dans un premier temps, une perte presque totale de Syn, mais partielle de la s-DG de l'environnement vasculaire du SHNH des souris deficientes en dp71 et de suggerer, dans un deuxieme temps, des DAPC differents selon les constituants cellulaires du SHNH.</w:t>
      </w:r>
    </w:p>
    <w:sectPr w:rsidR="00277B0A" w:rsidRPr="00404ED6" w:rsidSect="00351BCB">
      <w:pgSz w:w="11900" w:h="16840"/>
      <w:pgMar w:top="0" w:right="418" w:bottom="0" w:left="709"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171B3" w:rsidRDefault="006171B3" w:rsidP="00687A7E">
      <w:pPr>
        <w:spacing w:after="0" w:line="240" w:lineRule="auto"/>
      </w:pPr>
      <w:r>
        <w:separator/>
      </w:r>
    </w:p>
  </w:endnote>
  <w:endnote w:type="continuationSeparator" w:id="1">
    <w:p w:rsidR="006171B3" w:rsidRDefault="006171B3" w:rsidP="00687A7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171B3" w:rsidRDefault="006171B3" w:rsidP="00687A7E">
      <w:pPr>
        <w:spacing w:after="0" w:line="240" w:lineRule="auto"/>
      </w:pPr>
      <w:r>
        <w:separator/>
      </w:r>
    </w:p>
  </w:footnote>
  <w:footnote w:type="continuationSeparator" w:id="1">
    <w:p w:rsidR="006171B3" w:rsidRDefault="006171B3" w:rsidP="00687A7E">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defaultTabStop w:val="720"/>
  <w:characterSpacingControl w:val="doNotCompress"/>
  <w:footnotePr>
    <w:footnote w:id="0"/>
    <w:footnote w:id="1"/>
  </w:footnotePr>
  <w:endnotePr>
    <w:endnote w:id="0"/>
    <w:endnote w:id="1"/>
  </w:endnotePr>
  <w:compat/>
  <w:rsids>
    <w:rsidRoot w:val="00687A7E"/>
    <w:rsid w:val="00022DB7"/>
    <w:rsid w:val="00024A9A"/>
    <w:rsid w:val="00026E25"/>
    <w:rsid w:val="00027F35"/>
    <w:rsid w:val="00050701"/>
    <w:rsid w:val="00074423"/>
    <w:rsid w:val="000A646F"/>
    <w:rsid w:val="000D2011"/>
    <w:rsid w:val="001218F2"/>
    <w:rsid w:val="00187B4F"/>
    <w:rsid w:val="001A0648"/>
    <w:rsid w:val="001B71BC"/>
    <w:rsid w:val="001F687A"/>
    <w:rsid w:val="002523CA"/>
    <w:rsid w:val="00257711"/>
    <w:rsid w:val="00277B0A"/>
    <w:rsid w:val="00295CE5"/>
    <w:rsid w:val="002B02F3"/>
    <w:rsid w:val="00351BCB"/>
    <w:rsid w:val="003F0369"/>
    <w:rsid w:val="00404ED6"/>
    <w:rsid w:val="00416367"/>
    <w:rsid w:val="00424CA3"/>
    <w:rsid w:val="00433A92"/>
    <w:rsid w:val="005332E4"/>
    <w:rsid w:val="00564247"/>
    <w:rsid w:val="00597A20"/>
    <w:rsid w:val="005D6A70"/>
    <w:rsid w:val="006171B3"/>
    <w:rsid w:val="00645119"/>
    <w:rsid w:val="00687A7E"/>
    <w:rsid w:val="006C5E52"/>
    <w:rsid w:val="006D2E8E"/>
    <w:rsid w:val="007021FD"/>
    <w:rsid w:val="007546BE"/>
    <w:rsid w:val="007A2D04"/>
    <w:rsid w:val="007C07F0"/>
    <w:rsid w:val="007D4CCC"/>
    <w:rsid w:val="007D4CED"/>
    <w:rsid w:val="008209DB"/>
    <w:rsid w:val="00834DFD"/>
    <w:rsid w:val="00883C8D"/>
    <w:rsid w:val="00897A26"/>
    <w:rsid w:val="008B3E58"/>
    <w:rsid w:val="008C0589"/>
    <w:rsid w:val="008D2795"/>
    <w:rsid w:val="008E78CE"/>
    <w:rsid w:val="0091503A"/>
    <w:rsid w:val="00927CC2"/>
    <w:rsid w:val="009B70FC"/>
    <w:rsid w:val="00A60D4B"/>
    <w:rsid w:val="00A61AB7"/>
    <w:rsid w:val="00AC5A95"/>
    <w:rsid w:val="00AD3E33"/>
    <w:rsid w:val="00AD694D"/>
    <w:rsid w:val="00AF2FCF"/>
    <w:rsid w:val="00B05D1E"/>
    <w:rsid w:val="00B12E48"/>
    <w:rsid w:val="00B16241"/>
    <w:rsid w:val="00B22950"/>
    <w:rsid w:val="00BA39F1"/>
    <w:rsid w:val="00BF7AC9"/>
    <w:rsid w:val="00C61622"/>
    <w:rsid w:val="00C74B49"/>
    <w:rsid w:val="00C863CB"/>
    <w:rsid w:val="00C90424"/>
    <w:rsid w:val="00C959B3"/>
    <w:rsid w:val="00CB4D04"/>
    <w:rsid w:val="00CC3C56"/>
    <w:rsid w:val="00CE5922"/>
    <w:rsid w:val="00CF27EA"/>
    <w:rsid w:val="00D122A8"/>
    <w:rsid w:val="00D74D89"/>
    <w:rsid w:val="00DB5665"/>
    <w:rsid w:val="00E05675"/>
    <w:rsid w:val="00E109B6"/>
    <w:rsid w:val="00E15418"/>
    <w:rsid w:val="00EC1006"/>
    <w:rsid w:val="00ED6070"/>
    <w:rsid w:val="00EE7EF1"/>
    <w:rsid w:val="00F005CB"/>
    <w:rsid w:val="00F00F89"/>
    <w:rsid w:val="00F364D5"/>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86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C0589"/>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687A7E"/>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687A7E"/>
  </w:style>
  <w:style w:type="paragraph" w:styleId="Pieddepage">
    <w:name w:val="footer"/>
    <w:basedOn w:val="Normal"/>
    <w:link w:val="PieddepageCar"/>
    <w:uiPriority w:val="99"/>
    <w:semiHidden/>
    <w:unhideWhenUsed/>
    <w:rsid w:val="00687A7E"/>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687A7E"/>
  </w:style>
  <w:style w:type="paragraph" w:styleId="Corpsdetexte">
    <w:name w:val="Body Text"/>
    <w:basedOn w:val="Normal"/>
    <w:link w:val="CorpsdetexteCar"/>
    <w:uiPriority w:val="1"/>
    <w:qFormat/>
    <w:rsid w:val="007546BE"/>
    <w:pPr>
      <w:autoSpaceDE w:val="0"/>
      <w:autoSpaceDN w:val="0"/>
      <w:bidi w:val="0"/>
      <w:adjustRightInd w:val="0"/>
      <w:spacing w:after="0" w:line="240" w:lineRule="auto"/>
      <w:ind w:left="118"/>
    </w:pPr>
    <w:rPr>
      <w:rFonts w:ascii="Times New Roman" w:hAnsi="Times New Roman" w:cs="Times New Roman"/>
      <w:i/>
      <w:iCs/>
      <w:sz w:val="24"/>
      <w:szCs w:val="24"/>
    </w:rPr>
  </w:style>
  <w:style w:type="character" w:customStyle="1" w:styleId="CorpsdetexteCar">
    <w:name w:val="Corps de texte Car"/>
    <w:basedOn w:val="Policepardfaut"/>
    <w:link w:val="Corpsdetexte"/>
    <w:uiPriority w:val="1"/>
    <w:rsid w:val="007546BE"/>
    <w:rPr>
      <w:rFonts w:ascii="Times New Roman" w:hAnsi="Times New Roman" w:cs="Times New Roman"/>
      <w:i/>
      <w:iCs/>
      <w:sz w:val="24"/>
      <w:szCs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TotalTime>
  <Pages>1</Pages>
  <Words>388</Words>
  <Characters>2213</Characters>
  <Application>Microsoft Office Word</Application>
  <DocSecurity>0</DocSecurity>
  <Lines>18</Lines>
  <Paragraphs>5</Paragraphs>
  <ScaleCrop>false</ScaleCrop>
  <Company/>
  <LinksUpToDate>false</LinksUpToDate>
  <CharactersWithSpaces>2596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51</cp:revision>
  <dcterms:created xsi:type="dcterms:W3CDTF">2014-11-19T09:33:00Z</dcterms:created>
  <dcterms:modified xsi:type="dcterms:W3CDTF">2014-12-07T09:36:00Z</dcterms:modified>
</cp:coreProperties>
</file>