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08EE" w:rsidRPr="00EC08EE" w:rsidRDefault="00EC08EE" w:rsidP="00EC08EE">
      <w:pPr>
        <w:bidi w:val="0"/>
        <w:rPr>
          <w:lang w:val="fr-FR" w:bidi="ar-DZ"/>
        </w:rPr>
      </w:pPr>
      <w:r w:rsidRPr="00EC08EE">
        <w:rPr>
          <w:lang w:val="fr-FR" w:bidi="ar-DZ"/>
        </w:rPr>
        <w:t>Le bassin sismogène de la Mitidja a fait l'objet de plusieurs études géologiques et géophysiques pour la compréhension du système de structures particulièrement cassantes. Dans ce travail, on se propose de réaliser une étude structurale de la partie nord occidentale de ce bassin par la méthode gravimétrique. La superficie couverte est de 800 km². Elle englobe essentiellement l'anticlinal du Sahel et sa jonction avec le massif de Bouzaréah.</w:t>
      </w:r>
    </w:p>
    <w:p w:rsidR="00EC08EE" w:rsidRPr="00EC08EE" w:rsidRDefault="00EC08EE" w:rsidP="00EC08EE">
      <w:pPr>
        <w:bidi w:val="0"/>
        <w:rPr>
          <w:lang w:val="fr-FR" w:bidi="ar-DZ"/>
        </w:rPr>
      </w:pPr>
      <w:r w:rsidRPr="00EC08EE">
        <w:rPr>
          <w:lang w:val="fr-FR" w:bidi="ar-DZ"/>
        </w:rPr>
        <w:t>Pour ce travail, les mesures gravimétriques ont été faites pour les deux cartes de Chéraga et de Koléa du découpage Lambert Nord Algérie. L'objectif de cette étude est double. En effet, il s'agit dans un premier temps de déterminer l'ensemble des structures géologiques présentes dans la zone prospectée. Dans une seconde étape, il y'a lieu de mettre en évidence les failles actives.</w:t>
      </w:r>
    </w:p>
    <w:p w:rsidR="00EC08EE" w:rsidRPr="00EC08EE" w:rsidRDefault="00EC08EE" w:rsidP="00EC08EE">
      <w:pPr>
        <w:bidi w:val="0"/>
        <w:rPr>
          <w:lang w:val="fr-FR" w:bidi="ar-DZ"/>
        </w:rPr>
      </w:pPr>
      <w:r w:rsidRPr="00EC08EE">
        <w:rPr>
          <w:lang w:val="fr-FR" w:bidi="ar-DZ"/>
        </w:rPr>
        <w:t>La carte de l'anomalie de Bouguer représente le document de base de toute étude gravimétrique. Celle établie pour la région étudiée montre que le champ gravifique  diminue du nord vers le sud. Pour préciser la nature des différentes anomalies gravimétriques particulièrement superficielles et afin de montrer leur position structurale, un ensemble de traitements numériques ont été réalisés sur la carte des anomalies de Bouguer. Les documents obtenus, surtout de dérivations, montrent l'existence de plusieurs structures cassantes. Sur la base des différents documents établis, une carte structurale schématique, montrant les axes tectoniques et les linéaments et discontinuités gravimétriques a été établie.</w:t>
      </w:r>
    </w:p>
    <w:p w:rsidR="003971A4" w:rsidRPr="00EC08EE" w:rsidRDefault="00EC08EE" w:rsidP="00EC08EE">
      <w:pPr>
        <w:bidi w:val="0"/>
        <w:rPr>
          <w:rFonts w:hint="cs"/>
          <w:lang w:val="fr-FR" w:bidi="ar-DZ"/>
        </w:rPr>
      </w:pPr>
      <w:r w:rsidRPr="00EC08EE">
        <w:rPr>
          <w:lang w:val="fr-FR" w:bidi="ar-DZ"/>
        </w:rPr>
        <w:t>Par ailleurs pour mieux délimiter les sources à l'origine des anomalies gravimétriques et de préciser leur localisation en profondeur, une déconvolution d'Euler, une modélisation de certaines structures et une inversion 3D ont été appliquées.</w:t>
      </w:r>
    </w:p>
    <w:sectPr w:rsidR="003971A4" w:rsidRPr="00EC08EE"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EC08EE"/>
    <w:rsid w:val="003971A4"/>
    <w:rsid w:val="006D5754"/>
    <w:rsid w:val="00EC08E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71A4"/>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265</Words>
  <Characters>1516</Characters>
  <Application>Microsoft Office Word</Application>
  <DocSecurity>0</DocSecurity>
  <Lines>12</Lines>
  <Paragraphs>3</Paragraphs>
  <ScaleCrop>false</ScaleCrop>
  <Company/>
  <LinksUpToDate>false</LinksUpToDate>
  <CharactersWithSpaces>1778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2014-12-20T11:26:00Z</dcterms:created>
  <dcterms:modified xsi:type="dcterms:W3CDTF">2014-12-20T11:26:00Z</dcterms:modified>
</cp:coreProperties>
</file>