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56816" w:rsidRPr="00156816" w:rsidRDefault="00156816" w:rsidP="00156816">
      <w:pPr>
        <w:bidi w:val="0"/>
        <w:rPr>
          <w:lang w:val="fr-FR" w:bidi="ar-DZ"/>
        </w:rPr>
      </w:pPr>
      <w:r w:rsidRPr="00156816">
        <w:rPr>
          <w:lang w:val="fr-FR" w:bidi="ar-DZ"/>
        </w:rPr>
        <w:t xml:space="preserve">Dans le présent travail, nous nous sommes intéressés à la récupération des ions métalliques Mn(II) et Ni(II) à partir des effluents peu chargés, nous avons alors appliqué l'extraction Solide - Liquide à des minerais de manganèse et de nickel à faible teneur. </w:t>
      </w:r>
    </w:p>
    <w:p w:rsidR="00156816" w:rsidRPr="00156816" w:rsidRDefault="00156816" w:rsidP="00156816">
      <w:pPr>
        <w:bidi w:val="0"/>
        <w:rPr>
          <w:lang w:val="fr-FR" w:bidi="ar-DZ"/>
        </w:rPr>
      </w:pPr>
      <w:r w:rsidRPr="00156816">
        <w:rPr>
          <w:lang w:val="fr-FR" w:bidi="ar-DZ"/>
        </w:rPr>
        <w:t xml:space="preserve">Dans une première partie, nous avons fait un prétraitement mécanique, concassage suivi d'un broyage, après la caractérisation des deux minerais, nous avons fait une analyse granulométrique et une analyse chimique qui nous a permis de déterminer les  teneurs de manganèse et de nickel en fonction des différentes classes granulométriques. Des rendements intéressants ont été obtenus pour le minerai de manganèse, la classe granulométrique 50 µm &lt; d &lt; 80 µm présente une teneur de 58,991%, pour la même classe nous obtenons 0,245% dans le cas du minerai de nickel. </w:t>
      </w:r>
    </w:p>
    <w:p w:rsidR="00156816" w:rsidRPr="00156816" w:rsidRDefault="00156816" w:rsidP="00156816">
      <w:pPr>
        <w:bidi w:val="0"/>
        <w:rPr>
          <w:lang w:val="fr-FR" w:bidi="ar-DZ"/>
        </w:rPr>
      </w:pPr>
      <w:r w:rsidRPr="00156816">
        <w:rPr>
          <w:lang w:val="fr-FR" w:bidi="ar-DZ"/>
        </w:rPr>
        <w:t xml:space="preserve">Dans une deuxième partie, nous avons effectué une lixiviation conventionnelle par l'acide sulfurique des  minerais de manganèse et de nickel. Les rendements d'extraction de manganèse et de nickel dépendent d'un grand nombre de variables fortement interdépendantes tels que le rapport Solide/Liquide, l'acidité, le temps d'agitation, la vitesse d'agitation et la température, ont été examinés. Pour nous permettre de réaliser la combinaison la plus efficace nous avons tenté de déterminer les paramètres les plus importants. </w:t>
      </w:r>
    </w:p>
    <w:p w:rsidR="000E3C32" w:rsidRPr="00156816" w:rsidRDefault="00156816" w:rsidP="00156816">
      <w:pPr>
        <w:bidi w:val="0"/>
        <w:rPr>
          <w:rFonts w:hint="cs"/>
          <w:lang w:val="fr-FR" w:bidi="ar-DZ"/>
        </w:rPr>
      </w:pPr>
      <w:r w:rsidRPr="00156816">
        <w:rPr>
          <w:lang w:val="fr-FR" w:bidi="ar-DZ"/>
        </w:rPr>
        <w:t>Le traitement hydrométallurgique présente de larges perspectives dans le cas des traitements des minerais à faible teneur et la récupération des métaux à partir des effluents industriels. La dissolution sélective est une opération unitaire est donc très économe en eau et en matières premières grâce au recyclage des réactifs.</w:t>
      </w:r>
    </w:p>
    <w:sectPr w:rsidR="000E3C32" w:rsidRPr="00156816" w:rsidSect="005F47AF">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5"/>
  <w:defaultTabStop w:val="720"/>
  <w:characterSpacingControl w:val="doNotCompress"/>
  <w:compat/>
  <w:rsids>
    <w:rsidRoot w:val="00156816"/>
    <w:rsid w:val="000E3C32"/>
    <w:rsid w:val="00156816"/>
    <w:rsid w:val="005F47AF"/>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E3C32"/>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250</Words>
  <Characters>1426</Characters>
  <Application>Microsoft Office Word</Application>
  <DocSecurity>0</DocSecurity>
  <Lines>11</Lines>
  <Paragraphs>3</Paragraphs>
  <ScaleCrop>false</ScaleCrop>
  <Company/>
  <LinksUpToDate>false</LinksUpToDate>
  <CharactersWithSpaces>1673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lila</dc:creator>
  <cp:lastModifiedBy>lila</cp:lastModifiedBy>
  <cp:revision>1</cp:revision>
  <dcterms:created xsi:type="dcterms:W3CDTF">2016-01-05T09:52:00Z</dcterms:created>
  <dcterms:modified xsi:type="dcterms:W3CDTF">2016-01-05T09:52:00Z</dcterms:modified>
</cp:coreProperties>
</file>