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7161" w:rsidRPr="000D3C03" w:rsidRDefault="000D3C03" w:rsidP="000D3C03">
      <w:pPr>
        <w:bidi w:val="0"/>
        <w:rPr>
          <w:rFonts w:hint="cs"/>
          <w:lang w:val="fr-FR" w:bidi="ar-DZ"/>
        </w:rPr>
      </w:pPr>
      <w:r w:rsidRPr="000D3C03">
        <w:rPr>
          <w:lang w:val="fr-FR" w:bidi="ar-DZ"/>
        </w:rPr>
        <w:t>La caractérisation phénotypique d'une centaine de bactéries a révélé une large diversité confirmée par les analyses génotypiques. Cette diversité n'est pas corrélée  avec le génotype du cultivar de la plante hôte, ni avec leur origine géographique, ni l'étage bioclimatique de leur région d'origine. Ces bactéries ont montré des aptitudes PGPR ce qui permet la formulation d' inoculum simple et mixte à différents ratio destinés à la fertilisation de la luzerne dans les régions arides et semi-arides. La biofertilisation a levé les effets délétères du stress salin des plantes de Medicago sativa  via la réduction de l'absorption et la translocation des ions, le maintien du K +, de la surface foliaire, du statut hydrique et oxydatif et une protection des pigments photosynthétiques.</w:t>
      </w:r>
    </w:p>
    <w:sectPr w:rsidR="000B7161" w:rsidRPr="000D3C03"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0D3C03"/>
    <w:rsid w:val="000B7161"/>
    <w:rsid w:val="000D3C03"/>
    <w:rsid w:val="005F47A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B7161"/>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117</Words>
  <Characters>669</Characters>
  <Application>Microsoft Office Word</Application>
  <DocSecurity>0</DocSecurity>
  <Lines>5</Lines>
  <Paragraphs>1</Paragraphs>
  <ScaleCrop>false</ScaleCrop>
  <Company/>
  <LinksUpToDate>false</LinksUpToDate>
  <CharactersWithSpaces>785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2015-11-18T07:23:00Z</dcterms:created>
  <dcterms:modified xsi:type="dcterms:W3CDTF">2015-11-18T07:24:00Z</dcterms:modified>
</cp:coreProperties>
</file>