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C39" w:rsidRDefault="00005C39" w:rsidP="00005C39">
      <w:r>
        <w:t xml:space="preserve">De nombreux articles traitent le calcul du déversement élastique d'une poutre de section constante ou variable, symétrique ou mono-symétrique. En revanche, il existe très peu de méthodes  voir aucune permettant de prendre en compte la dissymétrie par rapport à l'axe de faible inertie dans l'évaluation du moment critique de déversement. </w:t>
      </w:r>
    </w:p>
    <w:p w:rsidR="00005C39" w:rsidRDefault="00005C39" w:rsidP="00005C39">
      <w:r>
        <w:t>Dans la pratique, il est fréquent d'avoir des éléments en acier à section mono symétrique suivant leur axe de faible inertie (profilé en U)</w:t>
      </w:r>
    </w:p>
    <w:p w:rsidR="00005C39" w:rsidRDefault="00005C39" w:rsidP="00005C39">
      <w:r>
        <w:t xml:space="preserve">En  développant l'ensemble de la partie théorique, nous allons  proposer une expression du moment critique de déversement pour ce type de profilés ainsi que son adaptation à la réglementation technique en cours d'exécution à citer le CCM 97. </w:t>
      </w:r>
    </w:p>
    <w:p w:rsidR="000F185F" w:rsidRDefault="00005C39" w:rsidP="00005C39">
      <w:r>
        <w:t xml:space="preserve">Pour conclure, nous allons comparer les résultats trouvés avec les résultats trouvés dans la littérature.  </w:t>
      </w:r>
    </w:p>
    <w:sectPr w:rsidR="000F185F" w:rsidSect="000F185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05C39"/>
    <w:rsid w:val="00005C39"/>
    <w:rsid w:val="000F18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185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703</Characters>
  <Application>Microsoft Office Word</Application>
  <DocSecurity>0</DocSecurity>
  <Lines>5</Lines>
  <Paragraphs>1</Paragraphs>
  <ScaleCrop>false</ScaleCrop>
  <Company/>
  <LinksUpToDate>false</LinksUpToDate>
  <CharactersWithSpaces>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2015-01-08T09:11:00Z</dcterms:created>
  <dcterms:modified xsi:type="dcterms:W3CDTF">2015-01-08T09:12:00Z</dcterms:modified>
</cp:coreProperties>
</file>