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006C" w:rsidRDefault="00FE006C" w:rsidP="0079248C">
      <w:pPr>
        <w:pStyle w:val="Sansinterligne"/>
        <w:jc w:val="both"/>
        <w:rPr>
          <w:rFonts w:asciiTheme="majorBidi" w:eastAsia="Calibri" w:hAnsiTheme="majorBidi" w:cstheme="majorBidi"/>
          <w:b/>
          <w:bCs/>
          <w:sz w:val="24"/>
          <w:szCs w:val="24"/>
          <w:lang w:val="fr-FR" w:eastAsia="fr-FR"/>
        </w:rPr>
      </w:pPr>
    </w:p>
    <w:p w:rsidR="0079248C" w:rsidRPr="00FE006C" w:rsidRDefault="00FE006C" w:rsidP="00FE006C">
      <w:pPr>
        <w:pStyle w:val="Sansinterligne"/>
        <w:jc w:val="center"/>
        <w:rPr>
          <w:rFonts w:asciiTheme="majorBidi" w:eastAsia="Calibri" w:hAnsiTheme="majorBidi" w:cstheme="majorBidi"/>
          <w:b/>
          <w:bCs/>
          <w:sz w:val="28"/>
          <w:szCs w:val="28"/>
          <w:lang w:val="fr-FR" w:eastAsia="fr-FR"/>
        </w:rPr>
      </w:pPr>
      <w:r w:rsidRPr="00FE006C">
        <w:rPr>
          <w:rFonts w:asciiTheme="majorBidi" w:eastAsia="Calibri" w:hAnsiTheme="majorBidi" w:cstheme="majorBidi"/>
          <w:b/>
          <w:bCs/>
          <w:sz w:val="28"/>
          <w:szCs w:val="28"/>
          <w:lang w:val="fr-FR" w:eastAsia="fr-FR"/>
        </w:rPr>
        <w:t>Résumé</w:t>
      </w:r>
    </w:p>
    <w:p w:rsidR="0079248C" w:rsidRDefault="0079248C" w:rsidP="0079248C">
      <w:pPr>
        <w:pStyle w:val="Sansinterligne"/>
        <w:jc w:val="both"/>
        <w:rPr>
          <w:rFonts w:asciiTheme="majorBidi" w:eastAsia="Calibri" w:hAnsiTheme="majorBidi" w:cstheme="majorBidi"/>
          <w:b/>
          <w:bCs/>
          <w:sz w:val="24"/>
          <w:szCs w:val="24"/>
          <w:lang w:val="fr-FR" w:eastAsia="fr-FR"/>
        </w:rPr>
      </w:pPr>
    </w:p>
    <w:p w:rsidR="00FE006C" w:rsidRPr="00DB77B0" w:rsidRDefault="00FE006C" w:rsidP="0079248C">
      <w:pPr>
        <w:pStyle w:val="Sansinterligne"/>
        <w:jc w:val="both"/>
        <w:rPr>
          <w:rFonts w:asciiTheme="majorBidi" w:eastAsia="Calibri" w:hAnsiTheme="majorBidi" w:cstheme="majorBidi"/>
          <w:b/>
          <w:bCs/>
          <w:sz w:val="24"/>
          <w:szCs w:val="24"/>
          <w:lang w:val="fr-FR" w:eastAsia="fr-FR"/>
        </w:rPr>
      </w:pPr>
    </w:p>
    <w:p w:rsidR="0079248C" w:rsidRDefault="0079248C" w:rsidP="008970BC">
      <w:pPr>
        <w:pStyle w:val="Sansinterligne"/>
        <w:jc w:val="both"/>
        <w:rPr>
          <w:rFonts w:asciiTheme="majorBidi" w:eastAsia="Calibri" w:hAnsiTheme="majorBidi" w:cstheme="majorBidi"/>
          <w:sz w:val="24"/>
          <w:szCs w:val="24"/>
          <w:lang w:val="fr-FR" w:eastAsia="fr-FR"/>
        </w:rPr>
      </w:pP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ab/>
      </w:r>
      <w:r w:rsidRPr="00346B23">
        <w:rPr>
          <w:rFonts w:asciiTheme="majorBidi" w:eastAsia="Calibri" w:hAnsiTheme="majorBidi" w:cstheme="majorBidi"/>
          <w:b/>
          <w:bCs/>
          <w:sz w:val="24"/>
          <w:szCs w:val="24"/>
          <w:lang w:val="fr-FR" w:eastAsia="fr-FR"/>
        </w:rPr>
        <w:t>Introduction</w:t>
      </w:r>
      <w:r>
        <w:rPr>
          <w:rFonts w:asciiTheme="majorBidi" w:eastAsia="Calibri" w:hAnsiTheme="majorBidi" w:cstheme="majorBidi"/>
          <w:b/>
          <w:bCs/>
          <w:sz w:val="24"/>
          <w:szCs w:val="24"/>
          <w:lang w:val="fr-FR" w:eastAsia="fr-FR"/>
        </w:rPr>
        <w:t xml:space="preserve">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: 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Les graines de </w:t>
      </w:r>
      <w:r w:rsidRPr="002A6524">
        <w:rPr>
          <w:rFonts w:asciiTheme="majorBidi" w:eastAsia="Calibri" w:hAnsiTheme="majorBidi" w:cstheme="majorBidi"/>
          <w:i/>
          <w:iCs/>
          <w:sz w:val="24"/>
          <w:szCs w:val="24"/>
          <w:lang w:val="fr-FR" w:eastAsia="fr-FR"/>
        </w:rPr>
        <w:t>Nigella sativa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sont généralement utilisées en médecine traditionnelle pour un large éventail de buts thérapeutiques. </w:t>
      </w:r>
      <w:r w:rsidR="008970BC">
        <w:rPr>
          <w:rFonts w:asciiTheme="majorBidi" w:eastAsia="Calibri" w:hAnsiTheme="majorBidi" w:cstheme="majorBidi"/>
          <w:sz w:val="24"/>
          <w:szCs w:val="24"/>
          <w:lang w:val="fr-FR" w:eastAsia="fr-FR"/>
        </w:rPr>
        <w:t>Leurs effets s'expliquent par leur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richesse en composants antioxydants, principalement la thymoquinone (TQ).</w:t>
      </w:r>
    </w:p>
    <w:p w:rsidR="0079248C" w:rsidRDefault="0079248C" w:rsidP="008970BC">
      <w:pPr>
        <w:pStyle w:val="Sansinterligne"/>
        <w:jc w:val="both"/>
        <w:rPr>
          <w:rFonts w:asciiTheme="majorBidi" w:eastAsia="Calibri" w:hAnsiTheme="majorBidi" w:cstheme="majorBidi"/>
          <w:sz w:val="24"/>
          <w:szCs w:val="24"/>
          <w:lang w:val="fr-FR" w:eastAsia="fr-FR"/>
        </w:rPr>
      </w:pP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ab/>
      </w:r>
      <w:r w:rsidRPr="00346B23">
        <w:rPr>
          <w:rFonts w:asciiTheme="majorBidi" w:eastAsia="Calibri" w:hAnsiTheme="majorBidi" w:cstheme="majorBidi"/>
          <w:b/>
          <w:bCs/>
          <w:sz w:val="24"/>
          <w:szCs w:val="24"/>
          <w:lang w:val="fr-FR" w:eastAsia="fr-FR"/>
        </w:rPr>
        <w:t>Objectif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: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>Nous nous sommes proposés d'explorer l'effet hypoglycémiant, hypolipémiant et antioxydant d'un extrait aqueux préparé à partir des graines (EAq.NS) après avoir étudi</w:t>
      </w:r>
      <w:r w:rsidR="008970BC">
        <w:rPr>
          <w:rFonts w:asciiTheme="majorBidi" w:eastAsia="Calibri" w:hAnsiTheme="majorBidi" w:cstheme="majorBidi"/>
          <w:sz w:val="24"/>
          <w:szCs w:val="24"/>
          <w:lang w:val="fr-FR" w:eastAsia="fr-FR"/>
        </w:rPr>
        <w:t>é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sa toxicité subaigüe sur 5 doses croissantes. Puis</w:t>
      </w:r>
      <w:r w:rsidR="008970BC">
        <w:rPr>
          <w:rFonts w:asciiTheme="majorBidi" w:eastAsia="Calibri" w:hAnsiTheme="majorBidi" w:cstheme="majorBidi"/>
          <w:sz w:val="24"/>
          <w:szCs w:val="24"/>
          <w:lang w:val="fr-FR" w:eastAsia="fr-FR"/>
        </w:rPr>
        <w:t>,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nous nous sommes intéressés à l'effet du principe actif majoritaire de la graine de nigelle</w:t>
      </w:r>
      <w:r w:rsidR="00373AD1">
        <w:rPr>
          <w:rFonts w:asciiTheme="majorBidi" w:eastAsia="Calibri" w:hAnsiTheme="majorBidi" w:cstheme="majorBidi"/>
          <w:sz w:val="24"/>
          <w:szCs w:val="24"/>
          <w:lang w:val="fr-FR" w:eastAsia="fr-FR"/>
        </w:rPr>
        <w:t>,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la TQ</w:t>
      </w:r>
      <w:r w:rsidR="00373AD1">
        <w:rPr>
          <w:rFonts w:asciiTheme="majorBidi" w:eastAsia="Calibri" w:hAnsiTheme="majorBidi" w:cstheme="majorBidi"/>
          <w:sz w:val="24"/>
          <w:szCs w:val="24"/>
          <w:lang w:val="fr-FR" w:eastAsia="fr-FR"/>
        </w:rPr>
        <w:t>,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sur deux marqueurs clés de la voie de signalisation de la glucotoxicité.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</w:t>
      </w:r>
    </w:p>
    <w:p w:rsidR="0079248C" w:rsidRDefault="0079248C" w:rsidP="00373AD1">
      <w:pPr>
        <w:pStyle w:val="Sansinterligne"/>
        <w:jc w:val="both"/>
        <w:rPr>
          <w:rFonts w:asciiTheme="majorBidi" w:eastAsia="Calibri" w:hAnsiTheme="majorBidi" w:cstheme="majorBidi"/>
          <w:sz w:val="24"/>
          <w:szCs w:val="24"/>
          <w:lang w:val="fr-FR" w:eastAsia="fr-FR"/>
        </w:rPr>
      </w:pP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ab/>
      </w:r>
      <w:r w:rsidRPr="00346B23">
        <w:rPr>
          <w:rFonts w:asciiTheme="majorBidi" w:eastAsia="Calibri" w:hAnsiTheme="majorBidi" w:cstheme="majorBidi"/>
          <w:b/>
          <w:bCs/>
          <w:sz w:val="24"/>
          <w:szCs w:val="24"/>
          <w:lang w:val="fr-FR" w:eastAsia="fr-FR"/>
        </w:rPr>
        <w:t>Méthodes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: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5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>doses croissantes d'E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>Aq.NS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>(2, 6,4, 21, 33 et 60 g / kg) ont été administrées quotidiennement à des souris par gavage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durant 6 semaines. Des dosages de paramètres biochimiques ont été réalisés. Des examens histologiques du rein et du foie ont été effectués à la fin de l'expérimentation. Dans la 2ème partie de notre étude, la dose de 2g/Kg de poids corporel a été retenue et administrée quotidiennement au rat wistar durant 8 semaines après induction du diabète par une injection intrapéritonéale de l'alloxane.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>Nous avons procédé aux dosages sériques de la glycémie, de l'insuline</w:t>
      </w:r>
      <w:r w:rsidR="00373AD1">
        <w:rPr>
          <w:rFonts w:asciiTheme="majorBidi" w:eastAsia="Calibri" w:hAnsiTheme="majorBidi" w:cstheme="majorBidi"/>
          <w:sz w:val="24"/>
          <w:szCs w:val="24"/>
          <w:lang w:val="fr-FR" w:eastAsia="fr-FR"/>
        </w:rPr>
        <w:t>,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des TG, du cholestérol total, du c-LDL, du c-HDL, de l'ASAT, de l'ALAT et des TBARs. 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>Une électrophorèse horizontale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>de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>s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lipoprotéine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>s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plasmatique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>s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a été réalisée. Le glycogène, les lipides totaux et les triglycérides ont été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évalués 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>dans le foie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et les 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TBARS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dans 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le tissu adipeux, le foie et le pancréas. </w:t>
      </w:r>
      <w:r w:rsidR="00373AD1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Un examen histopathologique du pancréas a eu lieu.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Dans la 3ème partie de notre étude, nous avons induit une glucotoxicité en </w:t>
      </w:r>
      <w:r w:rsidR="00373AD1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cultivant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les cardiomycytes en présence de 0.6% de Glc. 2 doses de TQ ont été administrées </w:t>
      </w:r>
      <w:r w:rsidR="00373AD1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: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10 et 50µg/mL de milieu. Des examens de la prolifération, de la viabilité ont suivi ainsi que l'évaluation des taux d'AMPK, d'AKT phosphorylé et de NO. </w:t>
      </w:r>
    </w:p>
    <w:p w:rsidR="0079248C" w:rsidRDefault="0079248C" w:rsidP="0079248C">
      <w:pPr>
        <w:pStyle w:val="Sansinterligne"/>
        <w:jc w:val="both"/>
        <w:rPr>
          <w:rFonts w:asciiTheme="majorBidi" w:eastAsia="Calibri" w:hAnsiTheme="majorBidi" w:cstheme="majorBidi"/>
          <w:sz w:val="24"/>
          <w:szCs w:val="24"/>
          <w:lang w:val="fr-FR" w:eastAsia="fr-FR"/>
        </w:rPr>
      </w:pP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ab/>
      </w:r>
      <w:r w:rsidRPr="00346B23">
        <w:rPr>
          <w:rFonts w:asciiTheme="majorBidi" w:eastAsia="Calibri" w:hAnsiTheme="majorBidi" w:cstheme="majorBidi"/>
          <w:b/>
          <w:bCs/>
          <w:sz w:val="24"/>
          <w:szCs w:val="24"/>
          <w:lang w:val="fr-FR" w:eastAsia="fr-FR"/>
        </w:rPr>
        <w:t>Résultats</w:t>
      </w:r>
      <w:r>
        <w:rPr>
          <w:rFonts w:asciiTheme="majorBidi" w:eastAsia="Calibri" w:hAnsiTheme="majorBidi" w:cstheme="majorBidi"/>
          <w:b/>
          <w:bCs/>
          <w:sz w:val="24"/>
          <w:szCs w:val="24"/>
          <w:lang w:val="fr-FR" w:eastAsia="fr-FR"/>
        </w:rPr>
        <w:t xml:space="preserve"> :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>L'E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>Aq.NS n'a montré aucune variation de l'urée et de l'albumine aux 5 doses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testées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>, mais une hépatotoxicité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>à partir de 21 g / kg a été confirmé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>e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par des observat</w:t>
      </w:r>
      <w:r w:rsidR="00E63A8D">
        <w:rPr>
          <w:rFonts w:asciiTheme="majorBidi" w:eastAsia="Calibri" w:hAnsiTheme="majorBidi" w:cstheme="majorBidi"/>
          <w:sz w:val="24"/>
          <w:szCs w:val="24"/>
          <w:lang w:val="fr-FR" w:eastAsia="fr-FR"/>
        </w:rPr>
        <w:t>ions histopathologiques du foie.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Chez les rats diabétiques,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l'E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>Aq.NS a significativement diminué la glycémie,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les 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>TG,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le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T-cholestérol,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les 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>LDL-c et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les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TBARS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>, a amélioré l'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insulinémie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et permis 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une augmentation significative de HDL-c.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Les dosages tissulaires ont notamment montré 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une diminution des lipides et une glycogénogenèse possible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au niveau du foie. </w:t>
      </w:r>
      <w:r w:rsidR="00373AD1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De même qu'une régénération des </w:t>
      </w:r>
      <w:r w:rsidR="00E63A8D">
        <w:rPr>
          <w:rFonts w:asciiTheme="majorBidi" w:eastAsia="Calibri" w:hAnsiTheme="majorBidi" w:cstheme="majorBidi"/>
          <w:sz w:val="24"/>
          <w:szCs w:val="24"/>
          <w:lang w:val="fr-FR" w:eastAsia="fr-FR"/>
        </w:rPr>
        <w:t>îlots</w:t>
      </w:r>
      <w:r w:rsidR="00373AD1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de Langerhans endommagés par l'alloxane a clairement été remarquée.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>Par ailleurs, la TQ a induit une remarquable activation de l'AMPK et de l'AKT phosphorylé, une diminution notable du NO et des taux de viabilité et de mortalité plus intéressants à la dose de 10µg/mL.</w:t>
      </w:r>
    </w:p>
    <w:p w:rsidR="0079248C" w:rsidRDefault="0079248C" w:rsidP="0079248C">
      <w:pPr>
        <w:pStyle w:val="Sansinterligne"/>
        <w:jc w:val="both"/>
        <w:rPr>
          <w:rFonts w:asciiTheme="majorBidi" w:eastAsia="Calibri" w:hAnsiTheme="majorBidi" w:cstheme="majorBidi"/>
          <w:sz w:val="24"/>
          <w:szCs w:val="24"/>
          <w:lang w:val="fr-FR" w:eastAsia="fr-FR"/>
        </w:rPr>
      </w:pP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ab/>
      </w:r>
      <w:r w:rsidRPr="00346B23">
        <w:rPr>
          <w:rFonts w:asciiTheme="majorBidi" w:eastAsia="Calibri" w:hAnsiTheme="majorBidi" w:cstheme="majorBidi"/>
          <w:b/>
          <w:bCs/>
          <w:sz w:val="24"/>
          <w:szCs w:val="24"/>
          <w:lang w:val="fr-FR" w:eastAsia="fr-FR"/>
        </w:rPr>
        <w:t>Conclusion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>: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L'EAq.NS 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>a montré s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on innocuité aux </w:t>
      </w:r>
      <w:r w:rsidRPr="002A6524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faibles doses et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>d'évidents effets antidiabétique et hypolipémiant s'expliquant probablement par ses composants antioxydants dont la TQ qui par ailleurs a induit l'activation de l'AMPKα et de l'AKT phosphorylé</w:t>
      </w:r>
      <w:r w:rsidR="00373AD1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, deux marqueurs clés de la voie de signalisation de la glucotoxicité,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 ainsi qu'une diminution du NO. La nigelle se présente </w:t>
      </w:r>
      <w:r w:rsidR="00373AD1">
        <w:rPr>
          <w:rFonts w:asciiTheme="majorBidi" w:eastAsia="Calibri" w:hAnsiTheme="majorBidi" w:cstheme="majorBidi"/>
          <w:sz w:val="24"/>
          <w:szCs w:val="24"/>
          <w:lang w:val="fr-FR" w:eastAsia="fr-FR"/>
        </w:rPr>
        <w:t xml:space="preserve">ainsi </w:t>
      </w:r>
      <w:r>
        <w:rPr>
          <w:rFonts w:asciiTheme="majorBidi" w:eastAsia="Calibri" w:hAnsiTheme="majorBidi" w:cstheme="majorBidi"/>
          <w:sz w:val="24"/>
          <w:szCs w:val="24"/>
          <w:lang w:val="fr-FR" w:eastAsia="fr-FR"/>
        </w:rPr>
        <w:t>comme un complément intéressant dans la thérapeutique de la pathologie diabétique.</w:t>
      </w:r>
    </w:p>
    <w:p w:rsidR="0079248C" w:rsidRDefault="0079248C" w:rsidP="0079248C">
      <w:pPr>
        <w:pStyle w:val="Sansinterligne"/>
        <w:jc w:val="both"/>
        <w:rPr>
          <w:rFonts w:asciiTheme="majorBidi" w:eastAsia="Calibri" w:hAnsiTheme="majorBidi" w:cstheme="majorBidi"/>
          <w:sz w:val="24"/>
          <w:szCs w:val="24"/>
          <w:lang w:val="fr-FR" w:eastAsia="fr-FR"/>
        </w:rPr>
      </w:pPr>
    </w:p>
    <w:sectPr w:rsidR="0079248C" w:rsidSect="0080016D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14E5" w:rsidRDefault="00E914E5" w:rsidP="00FE006C">
      <w:pPr>
        <w:spacing w:after="0" w:line="240" w:lineRule="auto"/>
      </w:pPr>
      <w:r>
        <w:separator/>
      </w:r>
    </w:p>
  </w:endnote>
  <w:endnote w:type="continuationSeparator" w:id="1">
    <w:p w:rsidR="00E914E5" w:rsidRDefault="00E914E5" w:rsidP="00FE00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14E5" w:rsidRDefault="00E914E5" w:rsidP="00FE006C">
      <w:pPr>
        <w:spacing w:after="0" w:line="240" w:lineRule="auto"/>
      </w:pPr>
      <w:r>
        <w:separator/>
      </w:r>
    </w:p>
  </w:footnote>
  <w:footnote w:type="continuationSeparator" w:id="1">
    <w:p w:rsidR="00E914E5" w:rsidRDefault="00E914E5" w:rsidP="00FE00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Century Schoolbook" w:eastAsiaTheme="majorEastAsia" w:hAnsi="Century Schoolbook" w:cstheme="majorBidi"/>
        <w:b/>
        <w:bCs/>
        <w:color w:val="7F7F7F" w:themeColor="text1" w:themeTint="80"/>
      </w:rPr>
      <w:alias w:val="Titre"/>
      <w:id w:val="536411716"/>
      <w:placeholder>
        <w:docPart w:val="37AC2451C4EE4A30A532C6B9E93760F1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FE006C" w:rsidRPr="00FE006C" w:rsidRDefault="00FE006C" w:rsidP="00E63A8D">
        <w:pPr>
          <w:pStyle w:val="En-tte"/>
          <w:jc w:val="right"/>
          <w:rPr>
            <w:rFonts w:ascii="Century Schoolbook" w:eastAsiaTheme="majorEastAsia" w:hAnsi="Century Schoolbook" w:cstheme="majorBidi"/>
            <w:b/>
            <w:bCs/>
            <w:color w:val="7F7F7F" w:themeColor="text1" w:themeTint="80"/>
          </w:rPr>
        </w:pPr>
        <w:r w:rsidRPr="00FE006C">
          <w:rPr>
            <w:rFonts w:ascii="Century Schoolbook" w:eastAsiaTheme="majorEastAsia" w:hAnsi="Century Schoolbook" w:cstheme="majorBidi"/>
            <w:b/>
            <w:bCs/>
            <w:color w:val="7F7F7F" w:themeColor="text1" w:themeTint="80"/>
          </w:rPr>
          <w:t>RESUM</w:t>
        </w:r>
        <w:r w:rsidR="00E63A8D">
          <w:rPr>
            <w:rFonts w:ascii="Century Schoolbook" w:eastAsiaTheme="majorEastAsia" w:hAnsi="Century Schoolbook" w:cstheme="majorBidi"/>
            <w:b/>
            <w:bCs/>
            <w:color w:val="7F7F7F" w:themeColor="text1" w:themeTint="80"/>
          </w:rPr>
          <w:t>E</w:t>
        </w:r>
      </w:p>
    </w:sdtContent>
  </w:sdt>
  <w:p w:rsidR="00FE006C" w:rsidRDefault="00206907">
    <w:pPr>
      <w:pStyle w:val="En-tte"/>
    </w:pPr>
    <w:r w:rsidRPr="00206907">
      <w:rPr>
        <w:rFonts w:asciiTheme="majorHAnsi" w:eastAsiaTheme="majorEastAsia" w:hAnsiTheme="majorHAnsi" w:cstheme="majorBidi"/>
        <w:lang w:eastAsia="zh-TW"/>
      </w:rPr>
      <w:pict>
        <v:rect id="_x0000_s4098" style="position:absolute;margin-left:9.65pt;margin-top:0;width:7.15pt;height:62.95pt;z-index:251661312;mso-height-percent:900;mso-position-horizontal-relative:right-margin-area;mso-position-vertical-relative:page;mso-height-percent:900;mso-height-relative:top-margin-area" fillcolor="#4bacc6 [3208]" strokecolor="#205867 [1608]">
          <w10:wrap anchorx="page" anchory="page"/>
        </v:rect>
      </w:pict>
    </w:r>
    <w:r w:rsidRPr="00206907">
      <w:rPr>
        <w:rFonts w:asciiTheme="majorHAnsi" w:eastAsiaTheme="majorEastAsia" w:hAnsiTheme="majorHAnsi" w:cstheme="majorBidi"/>
        <w:lang w:eastAsia="zh-TW"/>
      </w:rPr>
      <w:pict>
        <v:rect id="_x0000_s4097" style="position:absolute;margin-left:71.9pt;margin-top:.75pt;width:7.15pt;height:62.95pt;z-index:251660288;mso-height-percent:900;mso-position-horizontal-relative:left-margin-area;mso-position-vertical-relative:page;mso-height-percent:900;mso-height-relative:top-margin-area" fillcolor="#4bacc6 [3208]" strokecolor="#205867 [1608]">
          <w10:wrap anchorx="margin" anchory="page"/>
        </v:rect>
      </w:pict>
    </w:r>
    <w:r w:rsidRPr="00206907">
      <w:rPr>
        <w:rFonts w:asciiTheme="majorHAnsi" w:eastAsiaTheme="majorEastAsia" w:hAnsiTheme="majorHAnsi" w:cstheme="majorBidi"/>
        <w:lang w:eastAsia="zh-TW"/>
      </w:rPr>
      <w:pict>
        <v:group id="_x0000_s4099" style="position:absolute;margin-left:0;margin-top:0;width:611.15pt;height:64.75pt;z-index:251662336;mso-width-percent:1000;mso-height-percent:900;mso-position-horizontal:center;mso-position-horizontal-relative:page;mso-position-vertical:top;mso-position-vertical-relative:page;mso-width-percent:1000;mso-height-percent:900;mso-height-relative:top-margin-area" coordorigin="8,9" coordsize="15823,1439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100" type="#_x0000_t32" style="position:absolute;left:9;top:1431;width:15822;height:0;mso-width-percent:1000;mso-position-horizontal:center;mso-position-horizontal-relative:page;mso-position-vertical:bottom;mso-position-vertical-relative:top-margin-area;mso-width-percent:1000" o:connectortype="straight" strokecolor="#31849b [2408]"/>
          <v:rect id="_x0000_s4101" style="position:absolute;left:8;top:9;width:4031;height:1439;mso-width-percent:400;mso-height-percent:1000;mso-width-percent:400;mso-height-percent:1000;mso-width-relative:margin;mso-height-relative:bottom-margin-area" filled="f" stroked="f"/>
          <w10:wrap anchorx="page" anchory="page"/>
        </v:group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3314"/>
    <o:shapelayout v:ext="edit">
      <o:idmap v:ext="edit" data="4"/>
      <o:rules v:ext="edit">
        <o:r id="V:Rule2" type="connector" idref="#_x0000_s4100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79248C"/>
    <w:rsid w:val="00042E25"/>
    <w:rsid w:val="00074FCF"/>
    <w:rsid w:val="000918B2"/>
    <w:rsid w:val="000A3EFB"/>
    <w:rsid w:val="000B5117"/>
    <w:rsid w:val="000C444C"/>
    <w:rsid w:val="000C4482"/>
    <w:rsid w:val="00102DF5"/>
    <w:rsid w:val="0012177A"/>
    <w:rsid w:val="001239DA"/>
    <w:rsid w:val="001451DD"/>
    <w:rsid w:val="00152CD2"/>
    <w:rsid w:val="00157A4E"/>
    <w:rsid w:val="00164A37"/>
    <w:rsid w:val="001A7590"/>
    <w:rsid w:val="00206907"/>
    <w:rsid w:val="002215B7"/>
    <w:rsid w:val="00256988"/>
    <w:rsid w:val="00260B62"/>
    <w:rsid w:val="00263F11"/>
    <w:rsid w:val="002B430C"/>
    <w:rsid w:val="002C41AF"/>
    <w:rsid w:val="002E1FE9"/>
    <w:rsid w:val="002E6C7D"/>
    <w:rsid w:val="002E73EA"/>
    <w:rsid w:val="00300103"/>
    <w:rsid w:val="00302208"/>
    <w:rsid w:val="003176BD"/>
    <w:rsid w:val="003719A6"/>
    <w:rsid w:val="00373AD1"/>
    <w:rsid w:val="003774E9"/>
    <w:rsid w:val="003A61A1"/>
    <w:rsid w:val="003B0118"/>
    <w:rsid w:val="003D1687"/>
    <w:rsid w:val="00451A80"/>
    <w:rsid w:val="004A1793"/>
    <w:rsid w:val="004A4CB2"/>
    <w:rsid w:val="004B7686"/>
    <w:rsid w:val="004C7067"/>
    <w:rsid w:val="004F2698"/>
    <w:rsid w:val="004F4B8D"/>
    <w:rsid w:val="004F56B5"/>
    <w:rsid w:val="0050030F"/>
    <w:rsid w:val="0052589A"/>
    <w:rsid w:val="005639E1"/>
    <w:rsid w:val="00594829"/>
    <w:rsid w:val="00595462"/>
    <w:rsid w:val="005A281D"/>
    <w:rsid w:val="005B5576"/>
    <w:rsid w:val="005B723A"/>
    <w:rsid w:val="005C4062"/>
    <w:rsid w:val="005D1ABC"/>
    <w:rsid w:val="005E7B71"/>
    <w:rsid w:val="005F7587"/>
    <w:rsid w:val="00631058"/>
    <w:rsid w:val="00644847"/>
    <w:rsid w:val="00675197"/>
    <w:rsid w:val="0068067C"/>
    <w:rsid w:val="00682205"/>
    <w:rsid w:val="0068768A"/>
    <w:rsid w:val="006978C6"/>
    <w:rsid w:val="006B08EB"/>
    <w:rsid w:val="006B3B63"/>
    <w:rsid w:val="006E5793"/>
    <w:rsid w:val="006F027E"/>
    <w:rsid w:val="006F11AA"/>
    <w:rsid w:val="006F147C"/>
    <w:rsid w:val="0071003E"/>
    <w:rsid w:val="007307D9"/>
    <w:rsid w:val="00733E2F"/>
    <w:rsid w:val="00751CA5"/>
    <w:rsid w:val="00775636"/>
    <w:rsid w:val="00784222"/>
    <w:rsid w:val="0079248C"/>
    <w:rsid w:val="007C0C3F"/>
    <w:rsid w:val="007C2B63"/>
    <w:rsid w:val="007C7213"/>
    <w:rsid w:val="007F1189"/>
    <w:rsid w:val="007F2DFD"/>
    <w:rsid w:val="0080016D"/>
    <w:rsid w:val="008166FA"/>
    <w:rsid w:val="00821F0E"/>
    <w:rsid w:val="008665B3"/>
    <w:rsid w:val="00870DF8"/>
    <w:rsid w:val="008847B4"/>
    <w:rsid w:val="008970BC"/>
    <w:rsid w:val="008A3387"/>
    <w:rsid w:val="008B5D7F"/>
    <w:rsid w:val="008D52C8"/>
    <w:rsid w:val="008F7D01"/>
    <w:rsid w:val="00906888"/>
    <w:rsid w:val="00916690"/>
    <w:rsid w:val="009212AA"/>
    <w:rsid w:val="00933F95"/>
    <w:rsid w:val="009933C9"/>
    <w:rsid w:val="00994393"/>
    <w:rsid w:val="009A163C"/>
    <w:rsid w:val="009B0D0A"/>
    <w:rsid w:val="009C112C"/>
    <w:rsid w:val="009F5FB9"/>
    <w:rsid w:val="00A014C6"/>
    <w:rsid w:val="00A11CBA"/>
    <w:rsid w:val="00A13B8B"/>
    <w:rsid w:val="00A21F39"/>
    <w:rsid w:val="00A2700F"/>
    <w:rsid w:val="00A3611D"/>
    <w:rsid w:val="00A47415"/>
    <w:rsid w:val="00A61B12"/>
    <w:rsid w:val="00A6342A"/>
    <w:rsid w:val="00A80BA0"/>
    <w:rsid w:val="00A94385"/>
    <w:rsid w:val="00A96DE9"/>
    <w:rsid w:val="00AA367A"/>
    <w:rsid w:val="00AC0BD0"/>
    <w:rsid w:val="00AC76D3"/>
    <w:rsid w:val="00AD5C7E"/>
    <w:rsid w:val="00B17BC7"/>
    <w:rsid w:val="00B300E2"/>
    <w:rsid w:val="00B53B4F"/>
    <w:rsid w:val="00B76AEE"/>
    <w:rsid w:val="00B92AE1"/>
    <w:rsid w:val="00B94263"/>
    <w:rsid w:val="00BA2E49"/>
    <w:rsid w:val="00BA2FA5"/>
    <w:rsid w:val="00BA5A86"/>
    <w:rsid w:val="00BB73E3"/>
    <w:rsid w:val="00BC35CC"/>
    <w:rsid w:val="00C048BA"/>
    <w:rsid w:val="00C246FA"/>
    <w:rsid w:val="00C303E4"/>
    <w:rsid w:val="00C41A19"/>
    <w:rsid w:val="00C606DE"/>
    <w:rsid w:val="00C634CB"/>
    <w:rsid w:val="00C65CA8"/>
    <w:rsid w:val="00CE4E20"/>
    <w:rsid w:val="00D0499F"/>
    <w:rsid w:val="00D1686F"/>
    <w:rsid w:val="00D443F2"/>
    <w:rsid w:val="00D60CA1"/>
    <w:rsid w:val="00D62434"/>
    <w:rsid w:val="00D72760"/>
    <w:rsid w:val="00D75782"/>
    <w:rsid w:val="00D7645A"/>
    <w:rsid w:val="00D92AF1"/>
    <w:rsid w:val="00DB062D"/>
    <w:rsid w:val="00DB3EC4"/>
    <w:rsid w:val="00E44EAC"/>
    <w:rsid w:val="00E63A8D"/>
    <w:rsid w:val="00E72F37"/>
    <w:rsid w:val="00E73EF5"/>
    <w:rsid w:val="00E914E5"/>
    <w:rsid w:val="00EA0A5E"/>
    <w:rsid w:val="00EB473D"/>
    <w:rsid w:val="00EB52EC"/>
    <w:rsid w:val="00EC5EB9"/>
    <w:rsid w:val="00EC7788"/>
    <w:rsid w:val="00EE0746"/>
    <w:rsid w:val="00EE5001"/>
    <w:rsid w:val="00F12AC7"/>
    <w:rsid w:val="00F47774"/>
    <w:rsid w:val="00F83BDA"/>
    <w:rsid w:val="00F91F6E"/>
    <w:rsid w:val="00FB0834"/>
    <w:rsid w:val="00FB5DB8"/>
    <w:rsid w:val="00FC4036"/>
    <w:rsid w:val="00FE006C"/>
    <w:rsid w:val="00FF1A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768A"/>
    <w:rPr>
      <w:rFonts w:ascii="Times New Roman" w:hAnsi="Times New Roman"/>
      <w:sz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A80BA0"/>
    <w:rPr>
      <w:b/>
      <w:bCs/>
    </w:rPr>
  </w:style>
  <w:style w:type="paragraph" w:styleId="Sansinterligne">
    <w:name w:val="No Spacing"/>
    <w:link w:val="SansinterligneCar"/>
    <w:uiPriority w:val="1"/>
    <w:qFormat/>
    <w:rsid w:val="00A80BA0"/>
    <w:pPr>
      <w:spacing w:after="0" w:line="240" w:lineRule="auto"/>
    </w:pPr>
    <w:rPr>
      <w:rFonts w:eastAsiaTheme="minorEastAsia"/>
      <w:lang w:val="en-US" w:bidi="en-US"/>
    </w:rPr>
  </w:style>
  <w:style w:type="character" w:customStyle="1" w:styleId="SansinterligneCar">
    <w:name w:val="Sans interligne Car"/>
    <w:basedOn w:val="Policepardfaut"/>
    <w:link w:val="Sansinterligne"/>
    <w:uiPriority w:val="1"/>
    <w:locked/>
    <w:rsid w:val="0079248C"/>
    <w:rPr>
      <w:rFonts w:eastAsiaTheme="minorEastAsia"/>
      <w:lang w:val="en-US" w:bidi="en-US"/>
    </w:rPr>
  </w:style>
  <w:style w:type="paragraph" w:styleId="En-tte">
    <w:name w:val="header"/>
    <w:basedOn w:val="Normal"/>
    <w:link w:val="En-tteCar"/>
    <w:uiPriority w:val="99"/>
    <w:unhideWhenUsed/>
    <w:rsid w:val="00FE00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E006C"/>
    <w:rPr>
      <w:rFonts w:ascii="Times New Roman" w:hAnsi="Times New Roman"/>
      <w:sz w:val="24"/>
    </w:rPr>
  </w:style>
  <w:style w:type="paragraph" w:styleId="Pieddepage">
    <w:name w:val="footer"/>
    <w:basedOn w:val="Normal"/>
    <w:link w:val="PieddepageCar"/>
    <w:uiPriority w:val="99"/>
    <w:semiHidden/>
    <w:unhideWhenUsed/>
    <w:rsid w:val="00FE00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FE006C"/>
    <w:rPr>
      <w:rFonts w:ascii="Times New Roman" w:hAnsi="Times New Roman"/>
      <w:sz w:val="24"/>
    </w:rPr>
  </w:style>
  <w:style w:type="paragraph" w:customStyle="1" w:styleId="8DC85D95490F4A83941F061210A88F7E">
    <w:name w:val="8DC85D95490F4A83941F061210A88F7E"/>
    <w:rsid w:val="00FE006C"/>
    <w:rPr>
      <w:rFonts w:eastAsiaTheme="minorEastAsia"/>
      <w:lang w:val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E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E006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7AC2451C4EE4A30A532C6B9E93760F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C1F0FD1-5D80-4E48-9E95-63168DC5B729}"/>
      </w:docPartPr>
      <w:docPartBody>
        <w:p w:rsidR="004563A5" w:rsidRDefault="00E62032" w:rsidP="00E62032">
          <w:pPr>
            <w:pStyle w:val="37AC2451C4EE4A30A532C6B9E93760F1"/>
          </w:pPr>
          <w:r>
            <w:rPr>
              <w:rFonts w:asciiTheme="majorHAnsi" w:eastAsiaTheme="majorEastAsia" w:hAnsiTheme="majorHAnsi" w:cstheme="majorBidi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62032"/>
    <w:rsid w:val="00025CB8"/>
    <w:rsid w:val="004563A5"/>
    <w:rsid w:val="008179EC"/>
    <w:rsid w:val="008C5581"/>
    <w:rsid w:val="00BB19EE"/>
    <w:rsid w:val="00E620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63A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37AC2451C4EE4A30A532C6B9E93760F1">
    <w:name w:val="37AC2451C4EE4A30A532C6B9E93760F1"/>
    <w:rsid w:val="00E62032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502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RESUME</dc:title>
  <dc:creator>A</dc:creator>
  <cp:lastModifiedBy>b-13</cp:lastModifiedBy>
  <cp:revision>8</cp:revision>
  <cp:lastPrinted>2019-03-10T20:46:00Z</cp:lastPrinted>
  <dcterms:created xsi:type="dcterms:W3CDTF">2018-07-30T23:45:00Z</dcterms:created>
  <dcterms:modified xsi:type="dcterms:W3CDTF">2019-11-12T01:40:00Z</dcterms:modified>
</cp:coreProperties>
</file>