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45C8" w:rsidRPr="00F240D2" w:rsidRDefault="00F240D2" w:rsidP="00F240D2">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Un écoulement incompressible, turbulent et in stationnaire dans un canal muni d’un obstacle cubique est étudié numériquement par la simulation à grande échelle à l’aide d’un code commercial CFX.5.7.1. Ce travail a pour objective de visualiser la topologie de l’écoulement, identifier les différentes structures tourbillonnaires cohérentes générées par le cube y compris les tourbillons en fer à cheval en amont du cube, les vortex latéraux sur les parois de l’obstacle et les vortex en épingle dans la zone de sillage derrière l’obstacle, ainsi le champ de vitesse et l’énergie cinétique turbulente et comparé les résultats avec ceux obtenus expérimentalement par </w:t>
      </w:r>
      <w:r>
        <w:rPr>
          <w:rFonts w:ascii="Times New Roman" w:hAnsi="Times New Roman" w:cs="Times New Roman"/>
          <w:b/>
          <w:bCs/>
          <w:i/>
          <w:iCs/>
          <w:sz w:val="24"/>
          <w:szCs w:val="24"/>
        </w:rPr>
        <w:t>Hussein</w:t>
      </w:r>
      <w:r>
        <w:rPr>
          <w:rFonts w:ascii="Times New Roman" w:hAnsi="Times New Roman" w:cs="Times New Roman"/>
          <w:sz w:val="24"/>
          <w:szCs w:val="24"/>
        </w:rPr>
        <w:t xml:space="preserve"> et </w:t>
      </w:r>
      <w:r>
        <w:rPr>
          <w:rFonts w:ascii="Times New Roman" w:hAnsi="Times New Roman" w:cs="Times New Roman"/>
          <w:b/>
          <w:bCs/>
          <w:i/>
          <w:iCs/>
          <w:sz w:val="24"/>
          <w:szCs w:val="24"/>
        </w:rPr>
        <w:t xml:space="preserve">Martinuzzi </w:t>
      </w:r>
      <w:r>
        <w:rPr>
          <w:rFonts w:ascii="Times New Roman" w:hAnsi="Times New Roman" w:cs="Times New Roman"/>
          <w:sz w:val="24"/>
          <w:szCs w:val="24"/>
        </w:rPr>
        <w:t>(1996).Les résultats montrent clairement l’existence des structures cohérentes citées ci dessus en utilisant la technique des iso surfaces, les profils obtenus montrent également une précision raisonnable en particulier pour les profils de vitesse. Par contre, on notera certaines divergences concernant les profils de l’énergie cinétique turbulente. La variation du nombre de Reynolds occasionne une variation du nombre des tourbillons en fer à cheval</w:t>
      </w:r>
    </w:p>
    <w:sectPr w:rsidR="005145C8" w:rsidRPr="00F240D2" w:rsidSect="005145C8">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F240D2"/>
    <w:rsid w:val="005145C8"/>
    <w:rsid w:val="00F240D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45C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175</Words>
  <Characters>964</Characters>
  <Application>Microsoft Office Word</Application>
  <DocSecurity>0</DocSecurity>
  <Lines>8</Lines>
  <Paragraphs>2</Paragraphs>
  <ScaleCrop>false</ScaleCrop>
  <Company/>
  <LinksUpToDate>false</LinksUpToDate>
  <CharactersWithSpaces>1137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rahchida</dc:creator>
  <cp:keywords/>
  <dc:description/>
  <cp:lastModifiedBy>rahchida</cp:lastModifiedBy>
  <cp:revision>2</cp:revision>
  <dcterms:created xsi:type="dcterms:W3CDTF">2007-01-06T22:38:00Z</dcterms:created>
  <dcterms:modified xsi:type="dcterms:W3CDTF">2007-01-06T22:40:00Z</dcterms:modified>
</cp:coreProperties>
</file>