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3E7" w:rsidRPr="00B023A1" w:rsidRDefault="00C563E7" w:rsidP="00C563E7">
      <w:pPr>
        <w:jc w:val="center"/>
        <w:rPr>
          <w:sz w:val="20"/>
          <w:szCs w:val="20"/>
        </w:rPr>
      </w:pPr>
      <w:r w:rsidRPr="00B023A1">
        <w:rPr>
          <w:sz w:val="20"/>
          <w:szCs w:val="20"/>
        </w:rPr>
        <w:t xml:space="preserve">Université des Sciences et de </w:t>
      </w:r>
      <w:smartTag w:uri="urn:schemas-microsoft-com:office:smarttags" w:element="PersonName">
        <w:smartTagPr>
          <w:attr w:name="ProductID" w:val="la Technologie Houari"/>
        </w:smartTagPr>
        <w:r w:rsidRPr="00B023A1">
          <w:rPr>
            <w:sz w:val="20"/>
            <w:szCs w:val="20"/>
          </w:rPr>
          <w:t>la Technologie Houari</w:t>
        </w:r>
      </w:smartTag>
      <w:r w:rsidRPr="00B023A1">
        <w:rPr>
          <w:sz w:val="20"/>
          <w:szCs w:val="20"/>
        </w:rPr>
        <w:t xml:space="preserve"> Boumédiène</w:t>
      </w:r>
    </w:p>
    <w:p w:rsidR="00C563E7" w:rsidRPr="00B023A1" w:rsidRDefault="00C563E7" w:rsidP="00C563E7">
      <w:pPr>
        <w:jc w:val="center"/>
        <w:rPr>
          <w:sz w:val="20"/>
          <w:szCs w:val="20"/>
        </w:rPr>
      </w:pPr>
      <w:r w:rsidRPr="00B023A1">
        <w:rPr>
          <w:sz w:val="20"/>
          <w:szCs w:val="20"/>
        </w:rPr>
        <w:t>Faculté de Physique</w:t>
      </w:r>
    </w:p>
    <w:p w:rsidR="00C563E7" w:rsidRDefault="00C563E7" w:rsidP="00C563E7">
      <w:pPr>
        <w:jc w:val="center"/>
        <w:rPr>
          <w:bCs/>
          <w:iCs/>
          <w:sz w:val="20"/>
          <w:szCs w:val="20"/>
        </w:rPr>
      </w:pPr>
      <w:r w:rsidRPr="00B023A1">
        <w:rPr>
          <w:bCs/>
          <w:iCs/>
          <w:sz w:val="20"/>
          <w:szCs w:val="20"/>
        </w:rPr>
        <w:t>Département de Physique des Rayonnements</w:t>
      </w:r>
    </w:p>
    <w:p w:rsidR="00C563E7" w:rsidRPr="00B023A1" w:rsidRDefault="00C563E7" w:rsidP="00C563E7">
      <w:pPr>
        <w:spacing w:before="120"/>
        <w:jc w:val="center"/>
        <w:rPr>
          <w:b/>
          <w:bCs/>
        </w:rPr>
      </w:pPr>
      <w:r w:rsidRPr="00144803">
        <w:rPr>
          <w:b/>
          <w:bCs/>
        </w:rPr>
        <w:t xml:space="preserve">Thèse de </w:t>
      </w:r>
      <w:r w:rsidRPr="00D23EEC">
        <w:rPr>
          <w:b/>
          <w:bCs/>
          <w:sz w:val="28"/>
          <w:szCs w:val="28"/>
        </w:rPr>
        <w:t>Doctorat</w:t>
      </w:r>
    </w:p>
    <w:p w:rsidR="00C563E7" w:rsidRDefault="00C563E7" w:rsidP="00C563E7">
      <w:pPr>
        <w:jc w:val="center"/>
        <w:rPr>
          <w:b/>
          <w:bCs/>
        </w:rPr>
      </w:pPr>
      <w:r w:rsidRPr="00B023A1">
        <w:rPr>
          <w:bCs/>
        </w:rPr>
        <w:t>Présentée par</w:t>
      </w:r>
      <w:r>
        <w:rPr>
          <w:b/>
          <w:bCs/>
        </w:rPr>
        <w:t xml:space="preserve"> </w:t>
      </w:r>
    </w:p>
    <w:p w:rsidR="00C563E7" w:rsidRDefault="00C563E7" w:rsidP="00C563E7">
      <w:pPr>
        <w:jc w:val="center"/>
        <w:rPr>
          <w:b/>
          <w:bCs/>
        </w:rPr>
      </w:pPr>
      <w:r>
        <w:rPr>
          <w:b/>
          <w:bCs/>
        </w:rPr>
        <w:t>Abdelkader TOUTAOUI</w:t>
      </w:r>
      <w:r w:rsidRPr="00B023A1">
        <w:rPr>
          <w:b/>
          <w:bCs/>
          <w:iCs/>
        </w:rPr>
        <w:t xml:space="preserve"> (*)</w:t>
      </w:r>
    </w:p>
    <w:p w:rsidR="00C563E7" w:rsidRPr="00B023A1" w:rsidRDefault="00C563E7" w:rsidP="00C563E7">
      <w:pPr>
        <w:jc w:val="center"/>
        <w:rPr>
          <w:bCs/>
        </w:rPr>
      </w:pPr>
      <w:r w:rsidRPr="00B023A1">
        <w:rPr>
          <w:bCs/>
        </w:rPr>
        <w:t>Sur le thème</w:t>
      </w:r>
    </w:p>
    <w:p w:rsidR="00C563E7" w:rsidRDefault="00C563E7" w:rsidP="00C563E7">
      <w:pPr>
        <w:jc w:val="center"/>
        <w:rPr>
          <w:b/>
          <w:bCs/>
          <w:caps/>
        </w:rPr>
      </w:pPr>
      <w:r>
        <w:rPr>
          <w:b/>
          <w:bCs/>
          <w:caps/>
        </w:rPr>
        <w:t>MISE AU POINT D’UN MODELE DOSIMETRIQUE 3d POUR LES FAISCEAUX D’ELECTRONS DE HAUTES ENERGIES UTILISES EN RADIOTHERAPIE</w:t>
      </w:r>
    </w:p>
    <w:p w:rsidR="00C563E7" w:rsidRPr="006F022D" w:rsidRDefault="00EA6AC6" w:rsidP="00C563E7">
      <w:pPr>
        <w:jc w:val="center"/>
        <w:rPr>
          <w:b/>
          <w:bCs/>
          <w:caps/>
        </w:rPr>
      </w:pPr>
      <w:r w:rsidRPr="00EA6AC6">
        <w:rPr>
          <w:noProof/>
        </w:rPr>
        <w:pict>
          <v:shapetype id="_x0000_t202" coordsize="21600,21600" o:spt="202" path="m,l,21600r21600,l21600,xe">
            <v:stroke joinstyle="miter"/>
            <v:path gradientshapeok="t" o:connecttype="rect"/>
          </v:shapetype>
          <v:shape id="_x0000_s18200" type="#_x0000_t202" style="position:absolute;left:0;text-align:left;margin-left:-4.2pt;margin-top:4pt;width:486.8pt;height:516.15pt;z-index:251663360">
            <v:textbox style="mso-next-textbox:#_x0000_s18200">
              <w:txbxContent>
                <w:p w:rsidR="00D344D6" w:rsidRPr="0002219C" w:rsidRDefault="00D344D6" w:rsidP="00C563E7">
                  <w:pPr>
                    <w:autoSpaceDE w:val="0"/>
                    <w:autoSpaceDN w:val="0"/>
                    <w:adjustRightInd w:val="0"/>
                    <w:jc w:val="both"/>
                  </w:pPr>
                  <w:r w:rsidRPr="0002219C">
                    <w:rPr>
                      <w:b/>
                    </w:rPr>
                    <w:t>Résumé :</w:t>
                  </w:r>
                  <w:r w:rsidRPr="0002219C">
                    <w:t xml:space="preserve"> </w:t>
                  </w:r>
                </w:p>
                <w:p w:rsidR="00D344D6" w:rsidRPr="00070752" w:rsidRDefault="00D344D6" w:rsidP="00C563E7">
                  <w:pPr>
                    <w:jc w:val="both"/>
                    <w:rPr>
                      <w:sz w:val="22"/>
                      <w:szCs w:val="22"/>
                    </w:rPr>
                  </w:pPr>
                  <w:r w:rsidRPr="00070752">
                    <w:rPr>
                      <w:sz w:val="22"/>
                      <w:szCs w:val="22"/>
                    </w:rPr>
                    <w:t xml:space="preserve">Durant les dernières années, l’intérêt pour l’utilisation des faisceaux d’électrons de hautes énergies en radiothérapie s’est accru en raison de la disponibilité croissante des accélérateurs linéaires médicaux. Durant la même période, le développement de l’imagerie médicale (imagerie tomographique aux rayons X, échographie, IRM, </w:t>
                  </w:r>
                  <w:r w:rsidRPr="00070752">
                    <w:rPr>
                      <w:sz w:val="22"/>
                      <w:szCs w:val="22"/>
                    </w:rPr>
                    <w:sym w:font="Symbol" w:char="F0BC"/>
                  </w:r>
                  <w:r w:rsidRPr="00070752">
                    <w:rPr>
                      <w:sz w:val="22"/>
                      <w:szCs w:val="22"/>
                    </w:rPr>
                    <w:t>) a rendu possible l’exploitation clinique des données anatomiques du patient à travers les images. De plus, le développement de la technologie informatique a rendu possible la jonction entre les données de l’accélérateur, les données anatomiques du patient et les algorithmes de calcul de dose pour une meilleure planification des traitements. Par conséquent, pour pouvoir utiliser ces propriétés de façon optimale et permettre une utilisation clinique, il est nécessaire d’avoir des algorithmes de calcul de doses flexible</w:t>
                  </w:r>
                  <w:r>
                    <w:rPr>
                      <w:sz w:val="22"/>
                      <w:szCs w:val="22"/>
                    </w:rPr>
                    <w:t>s</w:t>
                  </w:r>
                  <w:r w:rsidRPr="00070752">
                    <w:rPr>
                      <w:sz w:val="22"/>
                      <w:szCs w:val="22"/>
                    </w:rPr>
                    <w:t xml:space="preserve"> et aussi précis que possible. Un programme de calcul de dose doit tenir compte des interactions fondamentales des électrons avec la matière et doit modéliser le plus exactement possible le transport de ces électrons dans les milieux irradiés.</w:t>
                  </w:r>
                </w:p>
                <w:p w:rsidR="00D344D6" w:rsidRPr="00070752" w:rsidRDefault="00D344D6" w:rsidP="00C563E7">
                  <w:pPr>
                    <w:jc w:val="both"/>
                    <w:rPr>
                      <w:sz w:val="22"/>
                      <w:szCs w:val="22"/>
                    </w:rPr>
                  </w:pPr>
                  <w:r w:rsidRPr="00070752">
                    <w:rPr>
                      <w:sz w:val="22"/>
                      <w:szCs w:val="22"/>
                    </w:rPr>
                    <w:t>Bien que la méthode Monte Carlo commence à être utilisée directement en routine clinique pour la planification des traitements, l’approche basée sur la décomposition en faisceaux élémentaires  continue à être l’une des approches les plus utilisées dans le calcul de dose pour les faisceaux d’électron en radiothérapie. La dose en un point du milieu irradié est obtenue en sommant les contributions de tous les faisceaux élémentaires.</w:t>
                  </w:r>
                </w:p>
                <w:p w:rsidR="00D344D6" w:rsidRPr="00070752" w:rsidRDefault="00D344D6" w:rsidP="00C563E7">
                  <w:pPr>
                    <w:jc w:val="both"/>
                    <w:rPr>
                      <w:color w:val="000000"/>
                      <w:sz w:val="22"/>
                      <w:szCs w:val="22"/>
                    </w:rPr>
                  </w:pPr>
                  <w:r w:rsidRPr="00070752">
                    <w:rPr>
                      <w:color w:val="000000"/>
                      <w:sz w:val="22"/>
                      <w:szCs w:val="22"/>
                    </w:rPr>
                    <w:t>Dans le présent travail, nous avons développé un modèle pour le calcul de dose 3D des faisceaux d'électrons, basé sur les distributions de faisceaux élémentaires générés par la méthode Monte Carlo, en utilisant un spectre d'énergies effectif à la surface du fantôme. Le spectre e</w:t>
                  </w:r>
                  <w:r>
                    <w:rPr>
                      <w:color w:val="000000"/>
                      <w:sz w:val="22"/>
                      <w:szCs w:val="22"/>
                    </w:rPr>
                    <w:t>ffectif est déterminé en ajust</w:t>
                  </w:r>
                  <w:r w:rsidRPr="00070752">
                    <w:rPr>
                      <w:color w:val="000000"/>
                      <w:sz w:val="22"/>
                      <w:szCs w:val="22"/>
                    </w:rPr>
                    <w:t xml:space="preserve">ant des distributions de dose en profondeur mesurées dans l'eau. </w:t>
                  </w:r>
                </w:p>
                <w:p w:rsidR="00D344D6" w:rsidRPr="00070752" w:rsidRDefault="00D344D6" w:rsidP="00C563E7">
                  <w:pPr>
                    <w:jc w:val="both"/>
                    <w:rPr>
                      <w:sz w:val="22"/>
                      <w:szCs w:val="22"/>
                    </w:rPr>
                  </w:pPr>
                  <w:r w:rsidRPr="00070752">
                    <w:rPr>
                      <w:sz w:val="22"/>
                      <w:szCs w:val="22"/>
                    </w:rPr>
                    <w:t>La vérification et la validation de cet algorithme de calcul de dose a été réalisée en confrontant les doses calculées et mesurés pour un certain nombre de champ</w:t>
                  </w:r>
                  <w:r>
                    <w:rPr>
                      <w:sz w:val="22"/>
                      <w:szCs w:val="22"/>
                    </w:rPr>
                    <w:t>s</w:t>
                  </w:r>
                  <w:r w:rsidRPr="00070752">
                    <w:rPr>
                      <w:sz w:val="22"/>
                      <w:szCs w:val="22"/>
                    </w:rPr>
                    <w:t xml:space="preserve"> de différentes tailles, différentes </w:t>
                  </w:r>
                  <w:r>
                    <w:rPr>
                      <w:sz w:val="22"/>
                      <w:szCs w:val="22"/>
                    </w:rPr>
                    <w:t>distance source-patient (</w:t>
                  </w:r>
                  <w:r w:rsidRPr="00070752">
                    <w:rPr>
                      <w:sz w:val="22"/>
                      <w:szCs w:val="22"/>
                    </w:rPr>
                    <w:t>DSP</w:t>
                  </w:r>
                  <w:r>
                    <w:rPr>
                      <w:sz w:val="22"/>
                      <w:szCs w:val="22"/>
                    </w:rPr>
                    <w:t>)</w:t>
                  </w:r>
                  <w:r w:rsidRPr="00070752">
                    <w:rPr>
                      <w:sz w:val="22"/>
                      <w:szCs w:val="22"/>
                    </w:rPr>
                    <w:t xml:space="preserve"> et différents arrangements de géométrie du faisceau. Par ailleurs, </w:t>
                  </w:r>
                  <w:r>
                    <w:rPr>
                      <w:sz w:val="22"/>
                      <w:szCs w:val="22"/>
                    </w:rPr>
                    <w:t>nous avons comparés les prévis</w:t>
                  </w:r>
                  <w:r w:rsidRPr="00070752">
                    <w:rPr>
                      <w:sz w:val="22"/>
                      <w:szCs w:val="22"/>
                    </w:rPr>
                    <w:t>ions de cet algorithme à des distributions de dose simulées par la méthode Monte Carlo.</w:t>
                  </w:r>
                </w:p>
                <w:p w:rsidR="00D344D6" w:rsidRPr="00070752" w:rsidRDefault="00D344D6" w:rsidP="00C563E7">
                  <w:pPr>
                    <w:jc w:val="both"/>
                    <w:rPr>
                      <w:sz w:val="22"/>
                      <w:szCs w:val="22"/>
                    </w:rPr>
                  </w:pPr>
                  <w:r w:rsidRPr="00070752">
                    <w:rPr>
                      <w:sz w:val="22"/>
                      <w:szCs w:val="22"/>
                    </w:rPr>
                    <w:t>L’évaluation de la préc</w:t>
                  </w:r>
                  <w:r>
                    <w:rPr>
                      <w:sz w:val="22"/>
                      <w:szCs w:val="22"/>
                    </w:rPr>
                    <w:t>ision de l’algorithme a été obtenu</w:t>
                  </w:r>
                  <w:r w:rsidRPr="00070752">
                    <w:rPr>
                      <w:sz w:val="22"/>
                      <w:szCs w:val="22"/>
                    </w:rPr>
                    <w:t>e pour dix configurations expérimentales et six configurations simulées par la méthode Monte Carlo incluant différentes situations cliniques</w:t>
                  </w:r>
                  <w:r>
                    <w:rPr>
                      <w:sz w:val="22"/>
                      <w:szCs w:val="22"/>
                    </w:rPr>
                    <w:t> :</w:t>
                  </w:r>
                  <w:r w:rsidRPr="00070752">
                    <w:rPr>
                      <w:sz w:val="22"/>
                      <w:szCs w:val="22"/>
                    </w:rPr>
                    <w:t xml:space="preserve"> surface</w:t>
                  </w:r>
                  <w:r>
                    <w:rPr>
                      <w:sz w:val="22"/>
                      <w:szCs w:val="22"/>
                    </w:rPr>
                    <w:t>s</w:t>
                  </w:r>
                  <w:r w:rsidRPr="00070752">
                    <w:rPr>
                      <w:sz w:val="22"/>
                      <w:szCs w:val="22"/>
                    </w:rPr>
                    <w:t xml:space="preserve"> irrégu</w:t>
                  </w:r>
                  <w:r>
                    <w:rPr>
                      <w:sz w:val="22"/>
                      <w:szCs w:val="22"/>
                    </w:rPr>
                    <w:t>lières, incidence oblique,</w:t>
                  </w:r>
                  <w:r w:rsidRPr="00070752">
                    <w:rPr>
                      <w:sz w:val="22"/>
                      <w:szCs w:val="22"/>
                    </w:rPr>
                    <w:t xml:space="preserve"> hétérogénéités, … Pour cette évaluation, la méthode l’indice gamma a été utilisé en considérant une précision double sur la dose et la distance de (3%/2mm). Pour chaque test, si cet indice est inferieur à 1, le test est concluant ; par contre, si cet indice est supérieur à 1, le test n’est pas concluant.</w:t>
                  </w:r>
                </w:p>
                <w:p w:rsidR="00D344D6" w:rsidRPr="00070752" w:rsidRDefault="00D344D6" w:rsidP="00C563E7">
                  <w:pPr>
                    <w:jc w:val="both"/>
                    <w:rPr>
                      <w:bCs/>
                      <w:sz w:val="22"/>
                      <w:szCs w:val="22"/>
                    </w:rPr>
                  </w:pPr>
                  <w:r w:rsidRPr="00070752">
                    <w:rPr>
                      <w:bCs/>
                      <w:sz w:val="22"/>
                      <w:szCs w:val="22"/>
                    </w:rPr>
                    <w:t>Les comparaisons des doses calculées par l’algorithme développé dans ce travail avec les données expérimentales et celles simulées par la méthode Monte Carlo pour les champs simple ont montré une très bonne précision, puisque l’écart maximal observé pour les champs ouverts est inférieur à 3% pour toutes les configurations expérimentales et Monte Carlo testées. Pour les configurations d’irradiation ayant une surface irrégulière ou présentant des inhomogénéités, l’algorithme reproduit qualitativement les distributions de doses de façon précise, et pour les écarts obtenus entre les doses calculées par l’algorithme et celles mesurées et simulées par la méthode Monte Carlo, ils restent acceptables même si pour certains points, dans des configurations complexes, ils dépassent les tolérances.</w:t>
                  </w:r>
                </w:p>
                <w:p w:rsidR="00D344D6" w:rsidRDefault="00D344D6" w:rsidP="00C563E7">
                  <w:pPr>
                    <w:jc w:val="both"/>
                    <w:rPr>
                      <w:bCs/>
                      <w:iCs/>
                    </w:rPr>
                  </w:pPr>
                </w:p>
                <w:p w:rsidR="00D344D6" w:rsidRDefault="00D344D6" w:rsidP="00C563E7">
                  <w:pPr>
                    <w:jc w:val="both"/>
                    <w:rPr>
                      <w:bCs/>
                      <w:iCs/>
                    </w:rPr>
                  </w:pPr>
                </w:p>
                <w:p w:rsidR="00D344D6" w:rsidRDefault="00D344D6" w:rsidP="00C563E7">
                  <w:pPr>
                    <w:jc w:val="both"/>
                    <w:rPr>
                      <w:bCs/>
                      <w:iCs/>
                    </w:rPr>
                  </w:pPr>
                </w:p>
                <w:p w:rsidR="00D344D6" w:rsidRDefault="00D344D6" w:rsidP="00C563E7">
                  <w:pPr>
                    <w:jc w:val="both"/>
                    <w:rPr>
                      <w:bCs/>
                      <w:iCs/>
                    </w:rPr>
                  </w:pPr>
                </w:p>
                <w:p w:rsidR="00D344D6" w:rsidRPr="0002219C" w:rsidRDefault="00D344D6" w:rsidP="00C563E7">
                  <w:pPr>
                    <w:jc w:val="both"/>
                    <w:rPr>
                      <w:bCs/>
                      <w:iCs/>
                    </w:rPr>
                  </w:pPr>
                </w:p>
                <w:p w:rsidR="00D344D6" w:rsidRPr="0002219C" w:rsidRDefault="00D344D6" w:rsidP="00C563E7">
                  <w:pPr>
                    <w:jc w:val="center"/>
                    <w:rPr>
                      <w:bCs/>
                      <w:iCs/>
                    </w:rPr>
                  </w:pPr>
                </w:p>
                <w:p w:rsidR="00D344D6" w:rsidRDefault="00D344D6" w:rsidP="00C563E7">
                  <w:pPr>
                    <w:jc w:val="center"/>
                    <w:rPr>
                      <w:bCs/>
                      <w:iCs/>
                    </w:rPr>
                  </w:pPr>
                </w:p>
                <w:p w:rsidR="00D344D6" w:rsidRDefault="00D344D6" w:rsidP="00C563E7">
                  <w:pPr>
                    <w:jc w:val="center"/>
                    <w:rPr>
                      <w:bCs/>
                      <w:iCs/>
                    </w:rPr>
                  </w:pPr>
                </w:p>
                <w:p w:rsidR="00D344D6" w:rsidRPr="00CC1BA4" w:rsidRDefault="00D344D6" w:rsidP="00C563E7">
                  <w:pPr>
                    <w:jc w:val="center"/>
                    <w:rPr>
                      <w:bCs/>
                      <w:iCs/>
                    </w:rPr>
                  </w:pPr>
                </w:p>
                <w:p w:rsidR="00D344D6" w:rsidRDefault="00D344D6" w:rsidP="00C563E7">
                  <w:pPr>
                    <w:jc w:val="center"/>
                  </w:pPr>
                </w:p>
              </w:txbxContent>
            </v:textbox>
          </v:shape>
        </w:pict>
      </w:r>
    </w:p>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 w:rsidR="00C563E7" w:rsidRPr="002F3662" w:rsidRDefault="00C563E7" w:rsidP="00C563E7">
      <w:pPr>
        <w:autoSpaceDE w:val="0"/>
        <w:autoSpaceDN w:val="0"/>
        <w:adjustRightInd w:val="0"/>
        <w:jc w:val="both"/>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
          <w:bCs/>
          <w:caps/>
        </w:rPr>
      </w:pPr>
    </w:p>
    <w:p w:rsidR="00C563E7" w:rsidRDefault="00C563E7" w:rsidP="00C563E7">
      <w:pPr>
        <w:autoSpaceDE w:val="0"/>
        <w:autoSpaceDN w:val="0"/>
        <w:adjustRightInd w:val="0"/>
        <w:jc w:val="both"/>
        <w:rPr>
          <w:bCs/>
          <w:iCs/>
        </w:rPr>
      </w:pPr>
    </w:p>
    <w:p w:rsidR="00C563E7" w:rsidRDefault="00C563E7" w:rsidP="00C563E7">
      <w:pPr>
        <w:autoSpaceDE w:val="0"/>
        <w:autoSpaceDN w:val="0"/>
        <w:adjustRightInd w:val="0"/>
        <w:jc w:val="both"/>
        <w:rPr>
          <w:bCs/>
          <w:iCs/>
        </w:rPr>
      </w:pPr>
    </w:p>
    <w:p w:rsidR="00C563E7" w:rsidRPr="005E70BC" w:rsidRDefault="00C563E7" w:rsidP="00C563E7">
      <w:pPr>
        <w:autoSpaceDE w:val="0"/>
        <w:autoSpaceDN w:val="0"/>
        <w:adjustRightInd w:val="0"/>
        <w:spacing w:before="120"/>
        <w:jc w:val="both"/>
        <w:rPr>
          <w:b/>
          <w:bCs/>
          <w:caps/>
        </w:rPr>
      </w:pPr>
      <w:r>
        <w:rPr>
          <w:bCs/>
          <w:iCs/>
        </w:rPr>
        <w:t xml:space="preserve">(*) </w:t>
      </w:r>
      <w:r>
        <w:rPr>
          <w:b/>
          <w:bCs/>
        </w:rPr>
        <w:t>Directeur de thèse : Pr Ahmed Chafik CHAMI (USTHB)</w:t>
      </w:r>
    </w:p>
    <w:sectPr w:rsidR="00C563E7" w:rsidRPr="005E70BC" w:rsidSect="00910BFB">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124C" w:rsidRDefault="0017124C">
      <w:r>
        <w:separator/>
      </w:r>
    </w:p>
  </w:endnote>
  <w:endnote w:type="continuationSeparator" w:id="1">
    <w:p w:rsidR="0017124C" w:rsidRDefault="001712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124C" w:rsidRDefault="0017124C">
      <w:r>
        <w:separator/>
      </w:r>
    </w:p>
  </w:footnote>
  <w:footnote w:type="continuationSeparator" w:id="1">
    <w:p w:rsidR="0017124C" w:rsidRDefault="001712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BB56084"/>
    <w:multiLevelType w:val="hybridMultilevel"/>
    <w:tmpl w:val="22C64EE0"/>
    <w:lvl w:ilvl="0" w:tplc="F1DE5BE6">
      <w:start w:val="1"/>
      <w:numFmt w:val="lowerRoman"/>
      <w:lvlText w:val="(%1)"/>
      <w:lvlJc w:val="left"/>
      <w:pPr>
        <w:tabs>
          <w:tab w:val="num" w:pos="765"/>
        </w:tabs>
        <w:ind w:left="765" w:hanging="720"/>
      </w:pPr>
      <w:rPr>
        <w:rFonts w:hint="default"/>
      </w:rPr>
    </w:lvl>
    <w:lvl w:ilvl="1" w:tplc="040C0019" w:tentative="1">
      <w:start w:val="1"/>
      <w:numFmt w:val="lowerLetter"/>
      <w:lvlText w:val="%2."/>
      <w:lvlJc w:val="left"/>
      <w:pPr>
        <w:tabs>
          <w:tab w:val="num" w:pos="1125"/>
        </w:tabs>
        <w:ind w:left="1125" w:hanging="360"/>
      </w:pPr>
    </w:lvl>
    <w:lvl w:ilvl="2" w:tplc="040C001B" w:tentative="1">
      <w:start w:val="1"/>
      <w:numFmt w:val="lowerRoman"/>
      <w:lvlText w:val="%3."/>
      <w:lvlJc w:val="right"/>
      <w:pPr>
        <w:tabs>
          <w:tab w:val="num" w:pos="1845"/>
        </w:tabs>
        <w:ind w:left="1845" w:hanging="180"/>
      </w:pPr>
    </w:lvl>
    <w:lvl w:ilvl="3" w:tplc="040C000F" w:tentative="1">
      <w:start w:val="1"/>
      <w:numFmt w:val="decimal"/>
      <w:lvlText w:val="%4."/>
      <w:lvlJc w:val="left"/>
      <w:pPr>
        <w:tabs>
          <w:tab w:val="num" w:pos="2565"/>
        </w:tabs>
        <w:ind w:left="2565" w:hanging="360"/>
      </w:pPr>
    </w:lvl>
    <w:lvl w:ilvl="4" w:tplc="040C0019" w:tentative="1">
      <w:start w:val="1"/>
      <w:numFmt w:val="lowerLetter"/>
      <w:lvlText w:val="%5."/>
      <w:lvlJc w:val="left"/>
      <w:pPr>
        <w:tabs>
          <w:tab w:val="num" w:pos="3285"/>
        </w:tabs>
        <w:ind w:left="3285" w:hanging="360"/>
      </w:pPr>
    </w:lvl>
    <w:lvl w:ilvl="5" w:tplc="040C001B" w:tentative="1">
      <w:start w:val="1"/>
      <w:numFmt w:val="lowerRoman"/>
      <w:lvlText w:val="%6."/>
      <w:lvlJc w:val="right"/>
      <w:pPr>
        <w:tabs>
          <w:tab w:val="num" w:pos="4005"/>
        </w:tabs>
        <w:ind w:left="4005" w:hanging="180"/>
      </w:pPr>
    </w:lvl>
    <w:lvl w:ilvl="6" w:tplc="040C000F" w:tentative="1">
      <w:start w:val="1"/>
      <w:numFmt w:val="decimal"/>
      <w:lvlText w:val="%7."/>
      <w:lvlJc w:val="left"/>
      <w:pPr>
        <w:tabs>
          <w:tab w:val="num" w:pos="4725"/>
        </w:tabs>
        <w:ind w:left="4725" w:hanging="360"/>
      </w:pPr>
    </w:lvl>
    <w:lvl w:ilvl="7" w:tplc="040C0019" w:tentative="1">
      <w:start w:val="1"/>
      <w:numFmt w:val="lowerLetter"/>
      <w:lvlText w:val="%8."/>
      <w:lvlJc w:val="left"/>
      <w:pPr>
        <w:tabs>
          <w:tab w:val="num" w:pos="5445"/>
        </w:tabs>
        <w:ind w:left="5445" w:hanging="360"/>
      </w:pPr>
    </w:lvl>
    <w:lvl w:ilvl="8" w:tplc="040C001B" w:tentative="1">
      <w:start w:val="1"/>
      <w:numFmt w:val="lowerRoman"/>
      <w:lvlText w:val="%9."/>
      <w:lvlJc w:val="right"/>
      <w:pPr>
        <w:tabs>
          <w:tab w:val="num" w:pos="6165"/>
        </w:tabs>
        <w:ind w:left="6165" w:hanging="180"/>
      </w:pPr>
    </w:lvl>
  </w:abstractNum>
  <w:abstractNum w:abstractNumId="2">
    <w:nsid w:val="0ED24B6B"/>
    <w:multiLevelType w:val="hybridMultilevel"/>
    <w:tmpl w:val="4FDAC2B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3A83547"/>
    <w:multiLevelType w:val="hybridMultilevel"/>
    <w:tmpl w:val="3C6443C2"/>
    <w:lvl w:ilvl="0" w:tplc="6D2C9B4C">
      <w:start w:val="1"/>
      <w:numFmt w:val="lowerRoman"/>
      <w:lvlText w:val="(%1)"/>
      <w:lvlJc w:val="left"/>
      <w:pPr>
        <w:ind w:left="1080"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4">
    <w:nsid w:val="2F754596"/>
    <w:multiLevelType w:val="hybridMultilevel"/>
    <w:tmpl w:val="4078A4F8"/>
    <w:lvl w:ilvl="0" w:tplc="3DFAF25C">
      <w:start w:val="5"/>
      <w:numFmt w:val="decimal"/>
      <w:lvlText w:val="%1.2"/>
      <w:lvlJc w:val="left"/>
      <w:pPr>
        <w:tabs>
          <w:tab w:val="num" w:pos="360"/>
        </w:tabs>
        <w:ind w:left="360" w:hanging="360"/>
      </w:pPr>
      <w:rPr>
        <w:rFonts w:ascii="Times New Roman" w:hAnsi="Times New Roman" w:cs="Times New Roman" w:hint="default"/>
        <w:b/>
        <w:i w:val="0"/>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5">
    <w:nsid w:val="6D216664"/>
    <w:multiLevelType w:val="hybridMultilevel"/>
    <w:tmpl w:val="A9EAE982"/>
    <w:lvl w:ilvl="0" w:tplc="04090017">
      <w:start w:val="1"/>
      <w:numFmt w:val="lowerLetter"/>
      <w:lvlText w:val="%1)"/>
      <w:lvlJc w:val="left"/>
      <w:pPr>
        <w:tabs>
          <w:tab w:val="num" w:pos="788"/>
        </w:tabs>
        <w:ind w:left="788" w:hanging="360"/>
      </w:p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6">
    <w:nsid w:val="70B04EE9"/>
    <w:multiLevelType w:val="hybridMultilevel"/>
    <w:tmpl w:val="23200DA0"/>
    <w:lvl w:ilvl="0" w:tplc="6F44E0F2">
      <w:start w:val="1"/>
      <w:numFmt w:val="lowerRoman"/>
      <w:lvlText w:val="(%1)"/>
      <w:lvlJc w:val="left"/>
      <w:pPr>
        <w:ind w:left="1080" w:hanging="720"/>
      </w:pPr>
    </w:lvl>
    <w:lvl w:ilvl="1" w:tplc="040C0019">
      <w:start w:val="1"/>
      <w:numFmt w:val="lowerLetter"/>
      <w:lvlText w:val="%2."/>
      <w:lvlJc w:val="left"/>
      <w:pPr>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num w:numId="1">
    <w:abstractNumId w:val="1"/>
  </w:num>
  <w:num w:numId="2">
    <w:abstractNumId w:val="5"/>
  </w:num>
  <w:num w:numId="3">
    <w:abstractNumId w:val="0"/>
    <w:lvlOverride w:ilvl="0">
      <w:lvl w:ilvl="0">
        <w:start w:val="1"/>
        <w:numFmt w:val="bullet"/>
        <w:lvlText w:val=""/>
        <w:legacy w:legacy="1" w:legacySpace="0" w:legacyIndent="283"/>
        <w:lvlJc w:val="left"/>
        <w:pPr>
          <w:ind w:left="567" w:hanging="283"/>
        </w:pPr>
        <w:rPr>
          <w:rFonts w:ascii="Symbol" w:hAnsi="Symbol" w:cs="Symbol" w:hint="default"/>
        </w:rPr>
      </w:lvl>
    </w:lvlOverride>
  </w:num>
  <w:num w:numId="4">
    <w:abstractNumId w:val="2"/>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footnotePr>
    <w:footnote w:id="0"/>
    <w:footnote w:id="1"/>
  </w:footnotePr>
  <w:endnotePr>
    <w:endnote w:id="0"/>
    <w:endnote w:id="1"/>
  </w:endnotePr>
  <w:compat/>
  <w:rsids>
    <w:rsidRoot w:val="00B23BEC"/>
    <w:rsid w:val="00000232"/>
    <w:rsid w:val="00011AE8"/>
    <w:rsid w:val="000329B9"/>
    <w:rsid w:val="0004242D"/>
    <w:rsid w:val="00057DFA"/>
    <w:rsid w:val="000659E2"/>
    <w:rsid w:val="000B0478"/>
    <w:rsid w:val="000C2C37"/>
    <w:rsid w:val="000D0622"/>
    <w:rsid w:val="000E617D"/>
    <w:rsid w:val="001012A9"/>
    <w:rsid w:val="001203C8"/>
    <w:rsid w:val="00152B0A"/>
    <w:rsid w:val="0017124C"/>
    <w:rsid w:val="00192A3F"/>
    <w:rsid w:val="00196682"/>
    <w:rsid w:val="001A14AC"/>
    <w:rsid w:val="001B1B0C"/>
    <w:rsid w:val="001E6579"/>
    <w:rsid w:val="001F7C2F"/>
    <w:rsid w:val="00204F1E"/>
    <w:rsid w:val="00212D56"/>
    <w:rsid w:val="00216A28"/>
    <w:rsid w:val="00216E1F"/>
    <w:rsid w:val="00217445"/>
    <w:rsid w:val="00221C48"/>
    <w:rsid w:val="00224530"/>
    <w:rsid w:val="00271C6D"/>
    <w:rsid w:val="002A6C06"/>
    <w:rsid w:val="002B0B9A"/>
    <w:rsid w:val="002B5A2E"/>
    <w:rsid w:val="002C1EBE"/>
    <w:rsid w:val="002E1802"/>
    <w:rsid w:val="002F0827"/>
    <w:rsid w:val="002F0CA7"/>
    <w:rsid w:val="002F2BE3"/>
    <w:rsid w:val="002F6F6F"/>
    <w:rsid w:val="002F7456"/>
    <w:rsid w:val="003018C9"/>
    <w:rsid w:val="00303D0E"/>
    <w:rsid w:val="00304E25"/>
    <w:rsid w:val="00311A36"/>
    <w:rsid w:val="00312C53"/>
    <w:rsid w:val="0031628B"/>
    <w:rsid w:val="00320E95"/>
    <w:rsid w:val="0032555D"/>
    <w:rsid w:val="00332DB3"/>
    <w:rsid w:val="00335AF4"/>
    <w:rsid w:val="00341815"/>
    <w:rsid w:val="00363457"/>
    <w:rsid w:val="003831CF"/>
    <w:rsid w:val="003B1937"/>
    <w:rsid w:val="003B3D77"/>
    <w:rsid w:val="003D11A5"/>
    <w:rsid w:val="003D1A2C"/>
    <w:rsid w:val="003F5303"/>
    <w:rsid w:val="004352A7"/>
    <w:rsid w:val="004404DD"/>
    <w:rsid w:val="00467EB1"/>
    <w:rsid w:val="00470E77"/>
    <w:rsid w:val="0047251E"/>
    <w:rsid w:val="0049399A"/>
    <w:rsid w:val="004955F3"/>
    <w:rsid w:val="004B4257"/>
    <w:rsid w:val="004E2C46"/>
    <w:rsid w:val="00517C15"/>
    <w:rsid w:val="0054759E"/>
    <w:rsid w:val="00553B93"/>
    <w:rsid w:val="00556246"/>
    <w:rsid w:val="005645A9"/>
    <w:rsid w:val="0056754D"/>
    <w:rsid w:val="00592296"/>
    <w:rsid w:val="005A7A24"/>
    <w:rsid w:val="005C52AC"/>
    <w:rsid w:val="005E1394"/>
    <w:rsid w:val="00616E44"/>
    <w:rsid w:val="00617D9F"/>
    <w:rsid w:val="0062002B"/>
    <w:rsid w:val="006476E0"/>
    <w:rsid w:val="006653D0"/>
    <w:rsid w:val="00681DD5"/>
    <w:rsid w:val="006A0900"/>
    <w:rsid w:val="006B70CE"/>
    <w:rsid w:val="006F1180"/>
    <w:rsid w:val="00700C81"/>
    <w:rsid w:val="00714F64"/>
    <w:rsid w:val="0073080C"/>
    <w:rsid w:val="00760504"/>
    <w:rsid w:val="00770586"/>
    <w:rsid w:val="0077490D"/>
    <w:rsid w:val="00781051"/>
    <w:rsid w:val="00796054"/>
    <w:rsid w:val="007A7160"/>
    <w:rsid w:val="007A7962"/>
    <w:rsid w:val="007B7951"/>
    <w:rsid w:val="007C357E"/>
    <w:rsid w:val="007E1851"/>
    <w:rsid w:val="007E58DC"/>
    <w:rsid w:val="0080361B"/>
    <w:rsid w:val="00813ED4"/>
    <w:rsid w:val="008165C2"/>
    <w:rsid w:val="00822080"/>
    <w:rsid w:val="00823413"/>
    <w:rsid w:val="0083282D"/>
    <w:rsid w:val="00842AB6"/>
    <w:rsid w:val="008448BC"/>
    <w:rsid w:val="008557B3"/>
    <w:rsid w:val="00876047"/>
    <w:rsid w:val="008851A4"/>
    <w:rsid w:val="008A5B11"/>
    <w:rsid w:val="008A6F08"/>
    <w:rsid w:val="00910BFB"/>
    <w:rsid w:val="009349E5"/>
    <w:rsid w:val="009479D2"/>
    <w:rsid w:val="00991C89"/>
    <w:rsid w:val="009D1992"/>
    <w:rsid w:val="009D3ABA"/>
    <w:rsid w:val="009E3792"/>
    <w:rsid w:val="009F14B2"/>
    <w:rsid w:val="00A11037"/>
    <w:rsid w:val="00A47D5D"/>
    <w:rsid w:val="00A57B76"/>
    <w:rsid w:val="00A91747"/>
    <w:rsid w:val="00A935CA"/>
    <w:rsid w:val="00A93C6D"/>
    <w:rsid w:val="00AB0DB5"/>
    <w:rsid w:val="00AB3364"/>
    <w:rsid w:val="00AB6FE6"/>
    <w:rsid w:val="00AB765C"/>
    <w:rsid w:val="00AC598B"/>
    <w:rsid w:val="00AD462D"/>
    <w:rsid w:val="00AE587F"/>
    <w:rsid w:val="00AE6B39"/>
    <w:rsid w:val="00AE7D13"/>
    <w:rsid w:val="00AF7A52"/>
    <w:rsid w:val="00B21309"/>
    <w:rsid w:val="00B23BEC"/>
    <w:rsid w:val="00B24D99"/>
    <w:rsid w:val="00B26260"/>
    <w:rsid w:val="00B3209B"/>
    <w:rsid w:val="00B339EB"/>
    <w:rsid w:val="00B36C97"/>
    <w:rsid w:val="00B43EEC"/>
    <w:rsid w:val="00B50236"/>
    <w:rsid w:val="00B6715F"/>
    <w:rsid w:val="00B80A23"/>
    <w:rsid w:val="00B81D50"/>
    <w:rsid w:val="00B87E89"/>
    <w:rsid w:val="00B905A5"/>
    <w:rsid w:val="00B919B3"/>
    <w:rsid w:val="00BA4A14"/>
    <w:rsid w:val="00BA4B39"/>
    <w:rsid w:val="00BD2150"/>
    <w:rsid w:val="00BD563F"/>
    <w:rsid w:val="00BE27F4"/>
    <w:rsid w:val="00C0721C"/>
    <w:rsid w:val="00C2297B"/>
    <w:rsid w:val="00C553F5"/>
    <w:rsid w:val="00C563E7"/>
    <w:rsid w:val="00C63DFC"/>
    <w:rsid w:val="00C72A87"/>
    <w:rsid w:val="00C805DA"/>
    <w:rsid w:val="00C80FB4"/>
    <w:rsid w:val="00C855DF"/>
    <w:rsid w:val="00C87DD1"/>
    <w:rsid w:val="00C9300A"/>
    <w:rsid w:val="00C95B6C"/>
    <w:rsid w:val="00CC280E"/>
    <w:rsid w:val="00CD53D8"/>
    <w:rsid w:val="00CE5CB1"/>
    <w:rsid w:val="00D3184D"/>
    <w:rsid w:val="00D344D6"/>
    <w:rsid w:val="00D54B56"/>
    <w:rsid w:val="00D54B77"/>
    <w:rsid w:val="00D56465"/>
    <w:rsid w:val="00D73116"/>
    <w:rsid w:val="00DB33ED"/>
    <w:rsid w:val="00DC16EA"/>
    <w:rsid w:val="00DC5D4C"/>
    <w:rsid w:val="00DD0861"/>
    <w:rsid w:val="00DE58C6"/>
    <w:rsid w:val="00DE5A04"/>
    <w:rsid w:val="00E017A7"/>
    <w:rsid w:val="00E17B30"/>
    <w:rsid w:val="00E21CA1"/>
    <w:rsid w:val="00E455BF"/>
    <w:rsid w:val="00E662D4"/>
    <w:rsid w:val="00E67821"/>
    <w:rsid w:val="00E7592E"/>
    <w:rsid w:val="00E7615B"/>
    <w:rsid w:val="00E775EB"/>
    <w:rsid w:val="00E81888"/>
    <w:rsid w:val="00EA25E0"/>
    <w:rsid w:val="00EA5CA4"/>
    <w:rsid w:val="00EA6AC6"/>
    <w:rsid w:val="00EB30CB"/>
    <w:rsid w:val="00EE2C24"/>
    <w:rsid w:val="00EE7C7A"/>
    <w:rsid w:val="00F05651"/>
    <w:rsid w:val="00F142B9"/>
    <w:rsid w:val="00F23054"/>
    <w:rsid w:val="00F26605"/>
    <w:rsid w:val="00F65CC4"/>
    <w:rsid w:val="00F72A79"/>
    <w:rsid w:val="00F86534"/>
    <w:rsid w:val="00F939F3"/>
    <w:rsid w:val="00FA436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5602">
      <o:colormenu v:ext="edit" fillcolor="none [3212]" strokecolor="none"/>
    </o:shapedefaults>
    <o:shapelayout v:ext="edit">
      <o:idmap v:ext="edit" data="1,17"/>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BEC"/>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uiPriority w:val="99"/>
    <w:unhideWhenUsed/>
    <w:qFormat/>
    <w:rsid w:val="00EA5CA4"/>
    <w:pPr>
      <w:keepNext/>
      <w:spacing w:before="240" w:after="60"/>
      <w:outlineLvl w:val="1"/>
    </w:pPr>
    <w:rPr>
      <w:rFonts w:ascii="Arial" w:hAnsi="Arial" w:cs="Arial"/>
      <w:b/>
      <w:bCs/>
      <w:i/>
      <w:i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M1">
    <w:name w:val="CM1"/>
    <w:basedOn w:val="Normal"/>
    <w:next w:val="Normal"/>
    <w:rsid w:val="00B23BEC"/>
    <w:pPr>
      <w:widowControl w:val="0"/>
      <w:autoSpaceDE w:val="0"/>
      <w:autoSpaceDN w:val="0"/>
      <w:adjustRightInd w:val="0"/>
    </w:pPr>
  </w:style>
  <w:style w:type="paragraph" w:customStyle="1" w:styleId="CM19">
    <w:name w:val="CM19"/>
    <w:basedOn w:val="Normal"/>
    <w:next w:val="Normal"/>
    <w:rsid w:val="00B23BEC"/>
    <w:pPr>
      <w:widowControl w:val="0"/>
      <w:autoSpaceDE w:val="0"/>
      <w:autoSpaceDN w:val="0"/>
      <w:adjustRightInd w:val="0"/>
      <w:spacing w:after="393"/>
    </w:pPr>
  </w:style>
  <w:style w:type="paragraph" w:customStyle="1" w:styleId="Default">
    <w:name w:val="Default"/>
    <w:rsid w:val="00B23BEC"/>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paragraph" w:styleId="Pieddepage">
    <w:name w:val="footer"/>
    <w:basedOn w:val="Normal"/>
    <w:link w:val="PieddepageCar"/>
    <w:uiPriority w:val="99"/>
    <w:rsid w:val="00B23BEC"/>
    <w:pPr>
      <w:tabs>
        <w:tab w:val="center" w:pos="4536"/>
        <w:tab w:val="right" w:pos="9072"/>
      </w:tabs>
    </w:pPr>
  </w:style>
  <w:style w:type="character" w:customStyle="1" w:styleId="PieddepageCar">
    <w:name w:val="Pied de page Car"/>
    <w:basedOn w:val="Policepardfaut"/>
    <w:link w:val="Pieddepage"/>
    <w:uiPriority w:val="99"/>
    <w:rsid w:val="00B23BEC"/>
    <w:rPr>
      <w:rFonts w:ascii="Times New Roman" w:eastAsia="Times New Roman" w:hAnsi="Times New Roman" w:cs="Times New Roman"/>
      <w:sz w:val="24"/>
      <w:szCs w:val="24"/>
      <w:lang w:eastAsia="fr-FR"/>
    </w:rPr>
  </w:style>
  <w:style w:type="character" w:styleId="Textedelespacerserv">
    <w:name w:val="Placeholder Text"/>
    <w:basedOn w:val="Policepardfaut"/>
    <w:uiPriority w:val="99"/>
    <w:semiHidden/>
    <w:rsid w:val="004404DD"/>
    <w:rPr>
      <w:color w:val="808080"/>
    </w:rPr>
  </w:style>
  <w:style w:type="paragraph" w:styleId="Textedebulles">
    <w:name w:val="Balloon Text"/>
    <w:basedOn w:val="Normal"/>
    <w:link w:val="TextedebullesCar"/>
    <w:uiPriority w:val="99"/>
    <w:semiHidden/>
    <w:unhideWhenUsed/>
    <w:rsid w:val="004404DD"/>
    <w:rPr>
      <w:rFonts w:ascii="Tahoma" w:hAnsi="Tahoma" w:cs="Tahoma"/>
      <w:sz w:val="16"/>
      <w:szCs w:val="16"/>
    </w:rPr>
  </w:style>
  <w:style w:type="character" w:customStyle="1" w:styleId="TextedebullesCar">
    <w:name w:val="Texte de bulles Car"/>
    <w:basedOn w:val="Policepardfaut"/>
    <w:link w:val="Textedebulles"/>
    <w:uiPriority w:val="99"/>
    <w:semiHidden/>
    <w:rsid w:val="004404DD"/>
    <w:rPr>
      <w:rFonts w:ascii="Tahoma" w:eastAsia="Times New Roman" w:hAnsi="Tahoma" w:cs="Tahoma"/>
      <w:sz w:val="16"/>
      <w:szCs w:val="16"/>
      <w:lang w:eastAsia="fr-FR"/>
    </w:rPr>
  </w:style>
  <w:style w:type="table" w:styleId="Grilledutableau">
    <w:name w:val="Table Grid"/>
    <w:basedOn w:val="TableauNormal"/>
    <w:rsid w:val="007A716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9E3792"/>
    <w:pPr>
      <w:tabs>
        <w:tab w:val="center" w:pos="4536"/>
        <w:tab w:val="right" w:pos="9072"/>
      </w:tabs>
    </w:pPr>
  </w:style>
  <w:style w:type="character" w:customStyle="1" w:styleId="En-tteCar">
    <w:name w:val="En-tête Car"/>
    <w:basedOn w:val="Policepardfaut"/>
    <w:link w:val="En-tte"/>
    <w:uiPriority w:val="99"/>
    <w:semiHidden/>
    <w:rsid w:val="009E3792"/>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32555D"/>
    <w:pPr>
      <w:ind w:left="720"/>
      <w:contextualSpacing/>
    </w:pPr>
  </w:style>
  <w:style w:type="paragraph" w:customStyle="1" w:styleId="CM2">
    <w:name w:val="CM2"/>
    <w:basedOn w:val="Normal"/>
    <w:next w:val="Normal"/>
    <w:uiPriority w:val="99"/>
    <w:rsid w:val="00E662D4"/>
    <w:pPr>
      <w:widowControl w:val="0"/>
      <w:autoSpaceDE w:val="0"/>
      <w:autoSpaceDN w:val="0"/>
      <w:adjustRightInd w:val="0"/>
    </w:pPr>
  </w:style>
  <w:style w:type="paragraph" w:customStyle="1" w:styleId="CM27">
    <w:name w:val="CM27"/>
    <w:basedOn w:val="Normal"/>
    <w:next w:val="Normal"/>
    <w:uiPriority w:val="99"/>
    <w:rsid w:val="00E662D4"/>
    <w:pPr>
      <w:widowControl w:val="0"/>
      <w:autoSpaceDE w:val="0"/>
      <w:autoSpaceDN w:val="0"/>
      <w:adjustRightInd w:val="0"/>
      <w:spacing w:after="233"/>
    </w:pPr>
  </w:style>
  <w:style w:type="paragraph" w:customStyle="1" w:styleId="CM29">
    <w:name w:val="CM29"/>
    <w:basedOn w:val="Normal"/>
    <w:next w:val="Normal"/>
    <w:uiPriority w:val="99"/>
    <w:rsid w:val="00E662D4"/>
    <w:pPr>
      <w:widowControl w:val="0"/>
      <w:autoSpaceDE w:val="0"/>
      <w:autoSpaceDN w:val="0"/>
      <w:adjustRightInd w:val="0"/>
      <w:spacing w:after="1423"/>
    </w:pPr>
  </w:style>
  <w:style w:type="paragraph" w:customStyle="1" w:styleId="CM30">
    <w:name w:val="CM30"/>
    <w:basedOn w:val="Normal"/>
    <w:next w:val="Normal"/>
    <w:uiPriority w:val="99"/>
    <w:rsid w:val="00E662D4"/>
    <w:pPr>
      <w:widowControl w:val="0"/>
      <w:autoSpaceDE w:val="0"/>
      <w:autoSpaceDN w:val="0"/>
      <w:adjustRightInd w:val="0"/>
      <w:spacing w:after="50"/>
    </w:pPr>
  </w:style>
  <w:style w:type="character" w:customStyle="1" w:styleId="Titre2Car">
    <w:name w:val="Titre 2 Car"/>
    <w:basedOn w:val="Policepardfaut"/>
    <w:link w:val="Titre2"/>
    <w:uiPriority w:val="99"/>
    <w:rsid w:val="00EA5CA4"/>
    <w:rPr>
      <w:rFonts w:ascii="Arial" w:eastAsia="Times New Roman" w:hAnsi="Arial" w:cs="Arial"/>
      <w:b/>
      <w:bCs/>
      <w:i/>
      <w:iCs/>
      <w:sz w:val="28"/>
      <w:szCs w:val="28"/>
      <w:lang w:eastAsia="fr-FR"/>
    </w:rPr>
  </w:style>
  <w:style w:type="paragraph" w:styleId="Corpsdetexte2">
    <w:name w:val="Body Text 2"/>
    <w:basedOn w:val="Normal"/>
    <w:link w:val="Corpsdetexte2Car"/>
    <w:semiHidden/>
    <w:unhideWhenUsed/>
    <w:rsid w:val="00EA5CA4"/>
    <w:pPr>
      <w:spacing w:before="100" w:beforeAutospacing="1" w:after="100" w:afterAutospacing="1"/>
    </w:pPr>
  </w:style>
  <w:style w:type="character" w:customStyle="1" w:styleId="Corpsdetexte2Car">
    <w:name w:val="Corps de texte 2 Car"/>
    <w:basedOn w:val="Policepardfaut"/>
    <w:link w:val="Corpsdetexte2"/>
    <w:semiHidden/>
    <w:rsid w:val="00EA5CA4"/>
    <w:rPr>
      <w:rFonts w:ascii="Times New Roman" w:eastAsia="Times New Roman" w:hAnsi="Times New Roman" w:cs="Times New Roman"/>
      <w:sz w:val="24"/>
      <w:szCs w:val="24"/>
      <w:lang w:eastAsia="fr-FR"/>
    </w:rPr>
  </w:style>
  <w:style w:type="paragraph" w:styleId="NormalWeb">
    <w:name w:val="Normal (Web)"/>
    <w:basedOn w:val="Normal"/>
    <w:uiPriority w:val="99"/>
    <w:rsid w:val="00796054"/>
    <w:pPr>
      <w:spacing w:before="100" w:beforeAutospacing="1" w:after="100" w:afterAutospacing="1"/>
    </w:pPr>
  </w:style>
  <w:style w:type="paragraph" w:customStyle="1" w:styleId="CM9">
    <w:name w:val="CM9"/>
    <w:basedOn w:val="Default"/>
    <w:next w:val="Default"/>
    <w:rsid w:val="00796054"/>
    <w:pPr>
      <w:spacing w:line="191" w:lineRule="atLeast"/>
    </w:pPr>
    <w:rPr>
      <w:rFonts w:ascii="Arial" w:hAnsi="Arial"/>
      <w:color w:val="auto"/>
    </w:rPr>
  </w:style>
  <w:style w:type="paragraph" w:customStyle="1" w:styleId="CM12">
    <w:name w:val="CM12"/>
    <w:basedOn w:val="Default"/>
    <w:next w:val="Default"/>
    <w:rsid w:val="00796054"/>
    <w:pPr>
      <w:spacing w:line="196" w:lineRule="atLeast"/>
    </w:pPr>
    <w:rPr>
      <w:rFonts w:ascii="Arial" w:hAnsi="Arial"/>
      <w:color w:val="auto"/>
    </w:rPr>
  </w:style>
</w:styles>
</file>

<file path=word/webSettings.xml><?xml version="1.0" encoding="utf-8"?>
<w:webSettings xmlns:r="http://schemas.openxmlformats.org/officeDocument/2006/relationships" xmlns:w="http://schemas.openxmlformats.org/wordprocessingml/2006/main">
  <w:divs>
    <w:div w:id="139618382">
      <w:bodyDiv w:val="1"/>
      <w:marLeft w:val="0"/>
      <w:marRight w:val="0"/>
      <w:marTop w:val="0"/>
      <w:marBottom w:val="0"/>
      <w:divBdr>
        <w:top w:val="none" w:sz="0" w:space="0" w:color="auto"/>
        <w:left w:val="none" w:sz="0" w:space="0" w:color="auto"/>
        <w:bottom w:val="none" w:sz="0" w:space="0" w:color="auto"/>
        <w:right w:val="none" w:sz="0" w:space="0" w:color="auto"/>
      </w:divBdr>
    </w:div>
    <w:div w:id="232468737">
      <w:bodyDiv w:val="1"/>
      <w:marLeft w:val="0"/>
      <w:marRight w:val="0"/>
      <w:marTop w:val="0"/>
      <w:marBottom w:val="0"/>
      <w:divBdr>
        <w:top w:val="none" w:sz="0" w:space="0" w:color="auto"/>
        <w:left w:val="none" w:sz="0" w:space="0" w:color="auto"/>
        <w:bottom w:val="none" w:sz="0" w:space="0" w:color="auto"/>
        <w:right w:val="none" w:sz="0" w:space="0" w:color="auto"/>
      </w:divBdr>
    </w:div>
    <w:div w:id="904295910">
      <w:bodyDiv w:val="1"/>
      <w:marLeft w:val="0"/>
      <w:marRight w:val="0"/>
      <w:marTop w:val="0"/>
      <w:marBottom w:val="0"/>
      <w:divBdr>
        <w:top w:val="none" w:sz="0" w:space="0" w:color="auto"/>
        <w:left w:val="none" w:sz="0" w:space="0" w:color="auto"/>
        <w:bottom w:val="none" w:sz="0" w:space="0" w:color="auto"/>
        <w:right w:val="none" w:sz="0" w:space="0" w:color="auto"/>
      </w:divBdr>
    </w:div>
    <w:div w:id="934554416">
      <w:bodyDiv w:val="1"/>
      <w:marLeft w:val="0"/>
      <w:marRight w:val="0"/>
      <w:marTop w:val="0"/>
      <w:marBottom w:val="0"/>
      <w:divBdr>
        <w:top w:val="none" w:sz="0" w:space="0" w:color="auto"/>
        <w:left w:val="none" w:sz="0" w:space="0" w:color="auto"/>
        <w:bottom w:val="none" w:sz="0" w:space="0" w:color="auto"/>
        <w:right w:val="none" w:sz="0" w:space="0" w:color="auto"/>
      </w:divBdr>
    </w:div>
    <w:div w:id="1019238287">
      <w:bodyDiv w:val="1"/>
      <w:marLeft w:val="0"/>
      <w:marRight w:val="0"/>
      <w:marTop w:val="0"/>
      <w:marBottom w:val="0"/>
      <w:divBdr>
        <w:top w:val="none" w:sz="0" w:space="0" w:color="auto"/>
        <w:left w:val="none" w:sz="0" w:space="0" w:color="auto"/>
        <w:bottom w:val="none" w:sz="0" w:space="0" w:color="auto"/>
        <w:right w:val="none" w:sz="0" w:space="0" w:color="auto"/>
      </w:divBdr>
    </w:div>
    <w:div w:id="1150444283">
      <w:bodyDiv w:val="1"/>
      <w:marLeft w:val="0"/>
      <w:marRight w:val="0"/>
      <w:marTop w:val="0"/>
      <w:marBottom w:val="0"/>
      <w:divBdr>
        <w:top w:val="none" w:sz="0" w:space="0" w:color="auto"/>
        <w:left w:val="none" w:sz="0" w:space="0" w:color="auto"/>
        <w:bottom w:val="none" w:sz="0" w:space="0" w:color="auto"/>
        <w:right w:val="none" w:sz="0" w:space="0" w:color="auto"/>
      </w:divBdr>
    </w:div>
    <w:div w:id="1642073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62</Words>
  <Characters>344</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PC</Company>
  <LinksUpToDate>false</LinksUpToDate>
  <CharactersWithSpaces>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TOUTAOUI</dc:creator>
  <cp:lastModifiedBy>TOUTAOUI</cp:lastModifiedBy>
  <cp:revision>3</cp:revision>
  <cp:lastPrinted>2012-01-10T07:01:00Z</cp:lastPrinted>
  <dcterms:created xsi:type="dcterms:W3CDTF">2012-10-29T13:26:00Z</dcterms:created>
  <dcterms:modified xsi:type="dcterms:W3CDTF">2012-10-29T13:27:00Z</dcterms:modified>
</cp:coreProperties>
</file>