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046" w:rsidRPr="001B746B" w:rsidRDefault="003F2046" w:rsidP="00B30F45">
      <w:pPr>
        <w:jc w:val="both"/>
      </w:pPr>
    </w:p>
    <w:p w:rsidR="00693251" w:rsidRPr="001B746B" w:rsidRDefault="00693251" w:rsidP="0081108A">
      <w:pPr>
        <w:autoSpaceDE w:val="0"/>
        <w:autoSpaceDN w:val="0"/>
        <w:adjustRightInd w:val="0"/>
        <w:ind w:firstLine="709"/>
        <w:jc w:val="both"/>
        <w:rPr>
          <w:rFonts w:eastAsia="Calibri"/>
        </w:rPr>
      </w:pPr>
      <w:r w:rsidRPr="001B746B">
        <w:rPr>
          <w:rStyle w:val="longtext1"/>
          <w:rFonts w:eastAsia="Calibri"/>
          <w:sz w:val="24"/>
          <w:szCs w:val="24"/>
          <w:shd w:val="clear" w:color="auto" w:fill="FFFFFF"/>
        </w:rPr>
        <w:t xml:space="preserve">Les Aranéides </w:t>
      </w:r>
      <w:r w:rsidR="00095E21" w:rsidRPr="001B746B">
        <w:rPr>
          <w:rFonts w:eastAsia="Calibri"/>
        </w:rPr>
        <w:t xml:space="preserve">représentent un groupe d’invertébrés d’une </w:t>
      </w:r>
      <w:r w:rsidRPr="001B746B">
        <w:rPr>
          <w:rFonts w:eastAsia="Calibri"/>
        </w:rPr>
        <w:t xml:space="preserve">importance </w:t>
      </w:r>
      <w:r w:rsidR="00095E21" w:rsidRPr="001B746B">
        <w:rPr>
          <w:rFonts w:eastAsia="Calibri"/>
        </w:rPr>
        <w:t xml:space="preserve">majeur </w:t>
      </w:r>
      <w:r w:rsidRPr="001B746B">
        <w:rPr>
          <w:rFonts w:eastAsia="Calibri"/>
        </w:rPr>
        <w:t xml:space="preserve">dans </w:t>
      </w:r>
      <w:r w:rsidR="00095E21" w:rsidRPr="001B746B">
        <w:rPr>
          <w:rFonts w:eastAsia="Calibri"/>
        </w:rPr>
        <w:t>divers biotopes</w:t>
      </w:r>
      <w:r w:rsidRPr="001B746B">
        <w:rPr>
          <w:rFonts w:eastAsia="Calibri"/>
        </w:rPr>
        <w:t>.</w:t>
      </w:r>
      <w:r w:rsidR="00095E21" w:rsidRPr="001B746B">
        <w:rPr>
          <w:rFonts w:eastAsia="Calibri"/>
        </w:rPr>
        <w:t xml:space="preserve"> Ils </w:t>
      </w:r>
      <w:r w:rsidR="00095E21" w:rsidRPr="001B746B">
        <w:rPr>
          <w:rStyle w:val="longtext1"/>
          <w:rFonts w:eastAsia="Calibri"/>
          <w:sz w:val="24"/>
          <w:szCs w:val="24"/>
          <w:shd w:val="clear" w:color="auto" w:fill="FFFFFF"/>
        </w:rPr>
        <w:t xml:space="preserve">sont </w:t>
      </w:r>
      <w:r w:rsidR="00095E21" w:rsidRPr="001B746B">
        <w:rPr>
          <w:rFonts w:eastAsia="Calibri"/>
        </w:rPr>
        <w:t>considérés comme une composante essentielle des écosystèmes terrestres, en général et des agroécosystèmes en particulier</w:t>
      </w:r>
      <w:r w:rsidR="00FA18AB" w:rsidRPr="001B746B">
        <w:rPr>
          <w:rFonts w:eastAsia="Calibri"/>
        </w:rPr>
        <w:t>,</w:t>
      </w:r>
      <w:r w:rsidR="00095E21" w:rsidRPr="001B746B">
        <w:rPr>
          <w:rFonts w:eastAsia="Calibri"/>
        </w:rPr>
        <w:t xml:space="preserve"> </w:t>
      </w:r>
      <w:r w:rsidR="00FA18AB" w:rsidRPr="001B746B">
        <w:rPr>
          <w:rFonts w:eastAsia="Calibri"/>
        </w:rPr>
        <w:t>en raison de leur rôle</w:t>
      </w:r>
      <w:r w:rsidR="00095E21" w:rsidRPr="001B746B">
        <w:rPr>
          <w:rFonts w:eastAsia="Calibri"/>
        </w:rPr>
        <w:t xml:space="preserve"> de bio-</w:t>
      </w:r>
      <w:r w:rsidR="00FA18AB" w:rsidRPr="001B746B">
        <w:rPr>
          <w:rFonts w:eastAsia="Calibri"/>
        </w:rPr>
        <w:t xml:space="preserve">indication mais aussi à leur rôle de bio-contrôle. </w:t>
      </w:r>
    </w:p>
    <w:p w:rsidR="00E611D2" w:rsidRPr="001B746B" w:rsidRDefault="00693251" w:rsidP="0082097B">
      <w:pPr>
        <w:ind w:firstLine="709"/>
        <w:jc w:val="both"/>
      </w:pPr>
      <w:r w:rsidRPr="001B746B">
        <w:t>Cette</w:t>
      </w:r>
      <w:r w:rsidR="00A33039" w:rsidRPr="001B746B">
        <w:t xml:space="preserve"> étude a été mené</w:t>
      </w:r>
      <w:r w:rsidR="00BC44CD">
        <w:t>e</w:t>
      </w:r>
      <w:r w:rsidR="00A33039" w:rsidRPr="001B746B">
        <w:t xml:space="preserve"> dans différents </w:t>
      </w:r>
      <w:r w:rsidR="00BC44CD">
        <w:t xml:space="preserve">agroécosystèmes de la Mitidja </w:t>
      </w:r>
      <w:r w:rsidR="00A33039" w:rsidRPr="00D22D0D">
        <w:t>dans des conditions environnementales similaires, mai</w:t>
      </w:r>
      <w:r w:rsidR="00BC44CD">
        <w:t xml:space="preserve">s avec des systèmes de gestions </w:t>
      </w:r>
      <w:r w:rsidR="00790946" w:rsidRPr="00D22D0D">
        <w:t>agricoles</w:t>
      </w:r>
      <w:r w:rsidR="00B30F45" w:rsidRPr="00D22D0D">
        <w:t xml:space="preserve"> différents. L’échantillonnage mensuel</w:t>
      </w:r>
      <w:r w:rsidR="00B30F45" w:rsidRPr="001B746B">
        <w:t xml:space="preserve"> à été </w:t>
      </w:r>
      <w:r w:rsidR="00A10E0C" w:rsidRPr="001B746B">
        <w:t>réalisé</w:t>
      </w:r>
      <w:r w:rsidR="00B30F45" w:rsidRPr="001B746B">
        <w:t xml:space="preserve"> pe</w:t>
      </w:r>
      <w:r w:rsidR="0082097B">
        <w:t>ndant deux années consécutives</w:t>
      </w:r>
      <w:r w:rsidR="009122CE">
        <w:t xml:space="preserve">. </w:t>
      </w:r>
      <w:r w:rsidR="00E611D2" w:rsidRPr="001B746B">
        <w:t xml:space="preserve">Le but de la présente étude </w:t>
      </w:r>
      <w:r w:rsidR="005F39C8" w:rsidRPr="001B746B">
        <w:t>est</w:t>
      </w:r>
      <w:r w:rsidR="00E611D2" w:rsidRPr="001B746B">
        <w:t xml:space="preserve"> d'élucider l'impact des différents systèmes de gestion</w:t>
      </w:r>
      <w:r w:rsidR="00D41B77" w:rsidRPr="001B746B">
        <w:t xml:space="preserve"> agricole</w:t>
      </w:r>
      <w:r w:rsidR="00E611D2" w:rsidRPr="001B746B">
        <w:t xml:space="preserve"> sur l'abondance et la diversité de </w:t>
      </w:r>
      <w:r w:rsidR="005F39C8" w:rsidRPr="001B746B">
        <w:t>la communauté d'araignée</w:t>
      </w:r>
      <w:r w:rsidR="00E611D2" w:rsidRPr="001B746B">
        <w:t>.</w:t>
      </w:r>
    </w:p>
    <w:p w:rsidR="00D0666B" w:rsidRPr="001B746B" w:rsidRDefault="00223342" w:rsidP="00A70FFF">
      <w:pPr>
        <w:ind w:firstLine="709"/>
        <w:jc w:val="both"/>
      </w:pPr>
      <w:r w:rsidRPr="001B746B">
        <w:t xml:space="preserve">L’effectif total récolté est </w:t>
      </w:r>
      <w:r w:rsidR="00693251" w:rsidRPr="001B746B">
        <w:t xml:space="preserve">de 2415 </w:t>
      </w:r>
      <w:r w:rsidRPr="001B746B">
        <w:t>individ</w:t>
      </w:r>
      <w:r w:rsidR="006A3984" w:rsidRPr="001B746B">
        <w:t>us qui ont été déterminés jusqu’au rang spécifique a</w:t>
      </w:r>
      <w:r w:rsidR="00693251" w:rsidRPr="001B746B">
        <w:t>vec 122 espèces</w:t>
      </w:r>
      <w:r w:rsidRPr="001B746B">
        <w:t xml:space="preserve">, appartenant à 97 genres et 30 familles. Parmi les  espèces </w:t>
      </w:r>
      <w:r w:rsidR="006004D2" w:rsidRPr="001B746B">
        <w:t>récoltées</w:t>
      </w:r>
      <w:r w:rsidRPr="001B746B">
        <w:t xml:space="preserve">, </w:t>
      </w:r>
      <w:r w:rsidRPr="001B746B">
        <w:rPr>
          <w:i/>
        </w:rPr>
        <w:t xml:space="preserve">Zodarion </w:t>
      </w:r>
      <w:r w:rsidRPr="001B746B">
        <w:t xml:space="preserve">nsp. (Zodariidae) et </w:t>
      </w:r>
      <w:r w:rsidRPr="001B746B">
        <w:rPr>
          <w:i/>
          <w:iCs/>
          <w:szCs w:val="20"/>
        </w:rPr>
        <w:t xml:space="preserve">Synophorus </w:t>
      </w:r>
      <w:r w:rsidRPr="001B746B">
        <w:rPr>
          <w:iCs/>
          <w:szCs w:val="20"/>
        </w:rPr>
        <w:t>nsp</w:t>
      </w:r>
      <w:r w:rsidRPr="001B746B">
        <w:rPr>
          <w:i/>
          <w:iCs/>
          <w:szCs w:val="20"/>
        </w:rPr>
        <w:t>.</w:t>
      </w:r>
      <w:r w:rsidRPr="001B746B">
        <w:rPr>
          <w:sz w:val="32"/>
        </w:rPr>
        <w:t xml:space="preserve"> </w:t>
      </w:r>
      <w:r w:rsidRPr="001B746B">
        <w:t xml:space="preserve">(Gnaphosidae) deux nouvelles espèces pour la science </w:t>
      </w:r>
      <w:r w:rsidR="00693251" w:rsidRPr="001B746B">
        <w:t>qui</w:t>
      </w:r>
      <w:r w:rsidRPr="001B746B">
        <w:t xml:space="preserve"> feront l’objet d’une publication</w:t>
      </w:r>
      <w:r w:rsidR="00693251" w:rsidRPr="001B746B">
        <w:t xml:space="preserve"> internationale</w:t>
      </w:r>
      <w:r w:rsidR="00D0666B" w:rsidRPr="001B746B">
        <w:t xml:space="preserve">. </w:t>
      </w:r>
    </w:p>
    <w:p w:rsidR="00E611D2" w:rsidRPr="001B746B" w:rsidRDefault="00D0666B" w:rsidP="00D22D0D">
      <w:pPr>
        <w:ind w:firstLine="709"/>
        <w:jc w:val="both"/>
        <w:rPr>
          <w:rFonts w:eastAsia="Calibri"/>
        </w:rPr>
      </w:pPr>
      <w:r w:rsidRPr="001B746B">
        <w:t>La stabilité des peuplements révélée par les indices de diversité et d’équitabilité, observé</w:t>
      </w:r>
      <w:r w:rsidR="00AA4D21">
        <w:t>e</w:t>
      </w:r>
      <w:r w:rsidRPr="001B746B">
        <w:t xml:space="preserve"> au niveau des arboricultures</w:t>
      </w:r>
      <w:r w:rsidR="00790946" w:rsidRPr="001B746B">
        <w:t xml:space="preserve"> fruitières</w:t>
      </w:r>
      <w:r w:rsidRPr="001B746B">
        <w:t xml:space="preserve"> ou agrumiculture</w:t>
      </w:r>
      <w:r w:rsidR="00790946" w:rsidRPr="001B746B">
        <w:t>s</w:t>
      </w:r>
      <w:r w:rsidRPr="001B746B">
        <w:t xml:space="preserve"> peuvent être </w:t>
      </w:r>
      <w:r w:rsidRPr="001B746B">
        <w:rPr>
          <w:rFonts w:eastAsia="Calibri"/>
        </w:rPr>
        <w:t>liée à la diversité de la flore</w:t>
      </w:r>
      <w:r w:rsidR="00790946" w:rsidRPr="001B746B">
        <w:rPr>
          <w:rFonts w:eastAsia="Calibri"/>
        </w:rPr>
        <w:t>, la hauteur</w:t>
      </w:r>
      <w:r w:rsidRPr="001B746B">
        <w:rPr>
          <w:rFonts w:eastAsia="Calibri"/>
        </w:rPr>
        <w:t xml:space="preserve"> des arbres</w:t>
      </w:r>
      <w:r w:rsidR="00790946" w:rsidRPr="001B746B">
        <w:rPr>
          <w:rFonts w:eastAsia="Calibri"/>
        </w:rPr>
        <w:t>,</w:t>
      </w:r>
      <w:r w:rsidRPr="001B746B">
        <w:rPr>
          <w:rFonts w:eastAsia="Calibri"/>
        </w:rPr>
        <w:t xml:space="preserve"> qui offre</w:t>
      </w:r>
      <w:r w:rsidR="00924C85">
        <w:rPr>
          <w:rFonts w:eastAsia="Calibri"/>
        </w:rPr>
        <w:t>nt</w:t>
      </w:r>
      <w:r w:rsidRPr="001B746B">
        <w:rPr>
          <w:rFonts w:eastAsia="Calibri"/>
        </w:rPr>
        <w:t xml:space="preserve"> des microhabitats variés et des niches écologiques différentes</w:t>
      </w:r>
      <w:r w:rsidR="00790946" w:rsidRPr="001B746B">
        <w:rPr>
          <w:rFonts w:eastAsia="Calibri"/>
        </w:rPr>
        <w:t>,</w:t>
      </w:r>
      <w:r w:rsidR="00790946" w:rsidRPr="001B746B">
        <w:rPr>
          <w:shd w:val="clear" w:color="auto" w:fill="FFFFFF"/>
        </w:rPr>
        <w:t xml:space="preserve"> </w:t>
      </w:r>
      <w:r w:rsidR="00790946" w:rsidRPr="001B746B">
        <w:rPr>
          <w:rStyle w:val="longtext1"/>
          <w:sz w:val="24"/>
          <w:szCs w:val="24"/>
          <w:shd w:val="clear" w:color="auto" w:fill="FFFFFF"/>
        </w:rPr>
        <w:t>ce qui permet aux espèces de tisser plus de toiles impliquant une plus grande activité et de ce fait une plus grande abondance</w:t>
      </w:r>
      <w:r w:rsidR="00D22D0D">
        <w:rPr>
          <w:rStyle w:val="longtext1"/>
          <w:sz w:val="24"/>
          <w:szCs w:val="24"/>
          <w:shd w:val="clear" w:color="auto" w:fill="FFFFFF"/>
        </w:rPr>
        <w:t xml:space="preserve">. </w:t>
      </w:r>
      <w:r w:rsidRPr="001B746B">
        <w:rPr>
          <w:rFonts w:eastAsia="Calibri"/>
        </w:rPr>
        <w:t>Pour les communautés d’Aranéides, la structure du biotope agit sur la richesse spécifique alors que les modes de production par les pratiques agricoles ont un impact sur leur abondance.</w:t>
      </w:r>
    </w:p>
    <w:sectPr w:rsidR="00E611D2" w:rsidRPr="001B746B" w:rsidSect="001B561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389D" w:rsidRDefault="0085389D" w:rsidP="00A33039">
      <w:pPr>
        <w:spacing w:after="0" w:line="240" w:lineRule="auto"/>
      </w:pPr>
      <w:r>
        <w:separator/>
      </w:r>
    </w:p>
  </w:endnote>
  <w:endnote w:type="continuationSeparator" w:id="1">
    <w:p w:rsidR="0085389D" w:rsidRDefault="0085389D" w:rsidP="00A330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389D" w:rsidRDefault="0085389D" w:rsidP="00A33039">
      <w:pPr>
        <w:spacing w:after="0" w:line="240" w:lineRule="auto"/>
      </w:pPr>
      <w:r>
        <w:separator/>
      </w:r>
    </w:p>
  </w:footnote>
  <w:footnote w:type="continuationSeparator" w:id="1">
    <w:p w:rsidR="0085389D" w:rsidRDefault="0085389D" w:rsidP="00A330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3039" w:rsidRPr="003F2046" w:rsidRDefault="00693251" w:rsidP="0012019B">
    <w:pPr>
      <w:pStyle w:val="Titre1"/>
      <w:rPr>
        <w:rStyle w:val="Titredulivre"/>
        <w:rFonts w:ascii="Times New Roman" w:hAnsi="Times New Roman" w:cs="Times New Roman"/>
        <w:color w:val="FFFFFF" w:themeColor="background1"/>
        <w:sz w:val="24"/>
        <w:u w:val="single" w:color="000000" w:themeColor="text1"/>
      </w:rPr>
    </w:pPr>
    <w:r>
      <w:rPr>
        <w:rStyle w:val="Titredulivre"/>
        <w:rFonts w:ascii="Times New Roman" w:hAnsi="Times New Roman" w:cs="Times New Roman"/>
        <w:color w:val="auto"/>
        <w:sz w:val="32"/>
        <w:u w:val="single" w:color="000000" w:themeColor="text1"/>
      </w:rPr>
      <w:t xml:space="preserve"> </w:t>
    </w:r>
    <w:r w:rsidR="003F2046" w:rsidRPr="003F2046">
      <w:rPr>
        <w:rStyle w:val="Titredulivre"/>
        <w:rFonts w:ascii="Times New Roman" w:hAnsi="Times New Roman" w:cs="Times New Roman"/>
        <w:color w:val="auto"/>
        <w:sz w:val="32"/>
        <w:u w:val="single" w:color="000000" w:themeColor="text1"/>
      </w:rPr>
      <w:t>R</w:t>
    </w:r>
    <w:r w:rsidR="0012019B" w:rsidRPr="0012019B">
      <w:rPr>
        <w:rStyle w:val="Titredulivre"/>
        <w:rFonts w:ascii="Times New Roman" w:hAnsi="Times New Roman" w:cs="Times New Roman"/>
        <w:color w:val="auto"/>
        <w:sz w:val="23"/>
        <w:szCs w:val="23"/>
        <w:u w:val="single" w:color="000000" w:themeColor="text1"/>
      </w:rPr>
      <w:t>É</w:t>
    </w:r>
    <w:r w:rsidR="003F2046" w:rsidRPr="0012019B">
      <w:rPr>
        <w:rStyle w:val="Titredulivre"/>
        <w:rFonts w:ascii="Times New Roman" w:hAnsi="Times New Roman" w:cs="Times New Roman"/>
        <w:color w:val="auto"/>
        <w:sz w:val="24"/>
        <w:szCs w:val="24"/>
        <w:u w:val="single" w:color="000000" w:themeColor="text1"/>
      </w:rPr>
      <w:t>sumé</w:t>
    </w:r>
    <w:r w:rsidR="00A33039" w:rsidRPr="003F2046">
      <w:rPr>
        <w:rStyle w:val="Titredulivre"/>
        <w:rFonts w:ascii="Times New Roman" w:hAnsi="Times New Roman" w:cs="Times New Roman"/>
        <w:color w:val="FFFFFF" w:themeColor="background1"/>
        <w:sz w:val="24"/>
        <w:u w:val="single" w:color="000000" w:themeColor="text1"/>
      </w:rPr>
      <w:t>……………</w:t>
    </w:r>
    <w:r>
      <w:rPr>
        <w:rStyle w:val="Titredulivre"/>
        <w:rFonts w:ascii="Times New Roman" w:hAnsi="Times New Roman" w:cs="Times New Roman"/>
        <w:color w:val="FFFFFF" w:themeColor="background1"/>
        <w:sz w:val="24"/>
        <w:u w:val="single" w:color="000000" w:themeColor="text1"/>
      </w:rPr>
      <w:t xml:space="preserve">   </w:t>
    </w:r>
    <w:r w:rsidR="0012019B">
      <w:rPr>
        <w:rStyle w:val="Titredulivre"/>
        <w:rFonts w:ascii="Times New Roman" w:hAnsi="Times New Roman" w:cs="Times New Roman"/>
        <w:color w:val="FFFFFF" w:themeColor="background1"/>
        <w:sz w:val="24"/>
        <w:u w:val="single" w:color="000000" w:themeColor="text1"/>
      </w:rPr>
      <w:t>…</w:t>
    </w:r>
    <w:r w:rsidR="00A33039" w:rsidRPr="003F2046">
      <w:rPr>
        <w:rStyle w:val="Titredulivre"/>
        <w:rFonts w:ascii="Times New Roman" w:hAnsi="Times New Roman" w:cs="Times New Roman"/>
        <w:color w:val="FFFFFF" w:themeColor="background1"/>
        <w:sz w:val="24"/>
        <w:u w:val="single" w:color="000000" w:themeColor="text1"/>
      </w:rPr>
      <w:t>…</w:t>
    </w:r>
    <w:r w:rsidR="0012019B">
      <w:rPr>
        <w:rStyle w:val="Titredulivre"/>
        <w:rFonts w:ascii="Times New Roman" w:hAnsi="Times New Roman" w:cs="Times New Roman"/>
        <w:color w:val="FFFFFF" w:themeColor="background1"/>
        <w:sz w:val="24"/>
        <w:u w:val="single" w:color="000000" w:themeColor="text1"/>
      </w:rPr>
      <w:t xml:space="preserve">    </w:t>
    </w:r>
    <w:r w:rsidR="00A33039" w:rsidRPr="003F2046">
      <w:rPr>
        <w:rStyle w:val="Titredulivre"/>
        <w:rFonts w:ascii="Times New Roman" w:hAnsi="Times New Roman" w:cs="Times New Roman"/>
        <w:color w:val="FFFFFF" w:themeColor="background1"/>
        <w:sz w:val="24"/>
        <w:u w:val="single" w:color="000000" w:themeColor="text1"/>
      </w:rPr>
      <w:t>………………</w:t>
    </w:r>
    <w:r w:rsidR="003F2046" w:rsidRPr="003F2046">
      <w:rPr>
        <w:rStyle w:val="Titredulivre"/>
        <w:rFonts w:ascii="Times New Roman" w:hAnsi="Times New Roman" w:cs="Times New Roman"/>
        <w:color w:val="FFFFFF" w:themeColor="background1"/>
        <w:sz w:val="24"/>
        <w:u w:val="single" w:color="000000" w:themeColor="text1"/>
      </w:rPr>
      <w:t>…………………………………</w:t>
    </w:r>
    <w:r w:rsidR="003F2046">
      <w:rPr>
        <w:rStyle w:val="Titredulivre"/>
        <w:rFonts w:ascii="Times New Roman" w:hAnsi="Times New Roman" w:cs="Times New Roman"/>
        <w:color w:val="FFFFFF" w:themeColor="background1"/>
        <w:sz w:val="24"/>
        <w:u w:val="single" w:color="000000" w:themeColor="text1"/>
      </w:rPr>
      <w:t> ;;;;;;;;;;;;;;</w:t>
    </w:r>
    <w:r w:rsidR="003F2046" w:rsidRPr="003F2046">
      <w:rPr>
        <w:rStyle w:val="Titredulivre"/>
        <w:rFonts w:ascii="Times New Roman" w:hAnsi="Times New Roman" w:cs="Times New Roman"/>
        <w:color w:val="FFFFFF" w:themeColor="background1"/>
        <w:sz w:val="24"/>
        <w:u w:val="single" w:color="000000" w:themeColor="text1"/>
      </w:rPr>
      <w:t>…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hdrShapeDefaults>
    <o:shapedefaults v:ext="edit" spidmax="34818"/>
  </w:hdrShapeDefaults>
  <w:footnotePr>
    <w:footnote w:id="0"/>
    <w:footnote w:id="1"/>
  </w:footnotePr>
  <w:endnotePr>
    <w:endnote w:id="0"/>
    <w:endnote w:id="1"/>
  </w:endnotePr>
  <w:compat/>
  <w:rsids>
    <w:rsidRoot w:val="00551358"/>
    <w:rsid w:val="00095E21"/>
    <w:rsid w:val="0012019B"/>
    <w:rsid w:val="001707FF"/>
    <w:rsid w:val="001B2AF6"/>
    <w:rsid w:val="001B5615"/>
    <w:rsid w:val="001B746B"/>
    <w:rsid w:val="001C4EDE"/>
    <w:rsid w:val="00223342"/>
    <w:rsid w:val="00333192"/>
    <w:rsid w:val="00354B64"/>
    <w:rsid w:val="003F2046"/>
    <w:rsid w:val="00442A03"/>
    <w:rsid w:val="00501EF2"/>
    <w:rsid w:val="0053034C"/>
    <w:rsid w:val="0053232A"/>
    <w:rsid w:val="00551358"/>
    <w:rsid w:val="005E396C"/>
    <w:rsid w:val="005F39C8"/>
    <w:rsid w:val="006004D2"/>
    <w:rsid w:val="00607A44"/>
    <w:rsid w:val="00693251"/>
    <w:rsid w:val="006A3984"/>
    <w:rsid w:val="006B6ECA"/>
    <w:rsid w:val="00735C0A"/>
    <w:rsid w:val="0077035A"/>
    <w:rsid w:val="00790946"/>
    <w:rsid w:val="007A2B66"/>
    <w:rsid w:val="007F15F6"/>
    <w:rsid w:val="0081108A"/>
    <w:rsid w:val="00815CCC"/>
    <w:rsid w:val="0082097B"/>
    <w:rsid w:val="00822B0B"/>
    <w:rsid w:val="0085389D"/>
    <w:rsid w:val="008D2121"/>
    <w:rsid w:val="009122CE"/>
    <w:rsid w:val="00924C85"/>
    <w:rsid w:val="009526B6"/>
    <w:rsid w:val="00A10E0C"/>
    <w:rsid w:val="00A33039"/>
    <w:rsid w:val="00A70FFF"/>
    <w:rsid w:val="00A80D63"/>
    <w:rsid w:val="00AA4D21"/>
    <w:rsid w:val="00AE1470"/>
    <w:rsid w:val="00AE7A67"/>
    <w:rsid w:val="00B30F45"/>
    <w:rsid w:val="00B41BE3"/>
    <w:rsid w:val="00BA098D"/>
    <w:rsid w:val="00BC44CD"/>
    <w:rsid w:val="00BF4E5A"/>
    <w:rsid w:val="00C037E3"/>
    <w:rsid w:val="00CD176E"/>
    <w:rsid w:val="00D0531C"/>
    <w:rsid w:val="00D0666B"/>
    <w:rsid w:val="00D22D0D"/>
    <w:rsid w:val="00D41B77"/>
    <w:rsid w:val="00D62F3B"/>
    <w:rsid w:val="00D8437B"/>
    <w:rsid w:val="00E02C16"/>
    <w:rsid w:val="00E2351C"/>
    <w:rsid w:val="00E611D2"/>
    <w:rsid w:val="00E6245C"/>
    <w:rsid w:val="00E63EEB"/>
    <w:rsid w:val="00EF3FBD"/>
    <w:rsid w:val="00F23186"/>
    <w:rsid w:val="00FA18AB"/>
    <w:rsid w:val="00FF02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5615"/>
  </w:style>
  <w:style w:type="paragraph" w:styleId="Titre1">
    <w:name w:val="heading 1"/>
    <w:basedOn w:val="Normal"/>
    <w:next w:val="Normal"/>
    <w:link w:val="Titre1Car"/>
    <w:uiPriority w:val="9"/>
    <w:qFormat/>
    <w:rsid w:val="00A330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A330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A330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A33039"/>
  </w:style>
  <w:style w:type="paragraph" w:styleId="Pieddepage">
    <w:name w:val="footer"/>
    <w:basedOn w:val="Normal"/>
    <w:link w:val="PieddepageCar"/>
    <w:uiPriority w:val="99"/>
    <w:semiHidden/>
    <w:unhideWhenUsed/>
    <w:rsid w:val="00A330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33039"/>
  </w:style>
  <w:style w:type="paragraph" w:styleId="Titre">
    <w:name w:val="Title"/>
    <w:basedOn w:val="Normal"/>
    <w:next w:val="Normal"/>
    <w:link w:val="TitreCar"/>
    <w:uiPriority w:val="10"/>
    <w:qFormat/>
    <w:rsid w:val="00A330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A330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2Car">
    <w:name w:val="Titre 2 Car"/>
    <w:basedOn w:val="Policepardfaut"/>
    <w:link w:val="Titre2"/>
    <w:uiPriority w:val="9"/>
    <w:rsid w:val="00A330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1Car">
    <w:name w:val="Titre 1 Car"/>
    <w:basedOn w:val="Policepardfaut"/>
    <w:link w:val="Titre1"/>
    <w:uiPriority w:val="9"/>
    <w:rsid w:val="00A330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ansinterligne">
    <w:name w:val="No Spacing"/>
    <w:uiPriority w:val="1"/>
    <w:qFormat/>
    <w:rsid w:val="00A33039"/>
    <w:pPr>
      <w:spacing w:after="0" w:line="240" w:lineRule="auto"/>
    </w:pPr>
  </w:style>
  <w:style w:type="character" w:styleId="Titredulivre">
    <w:name w:val="Book Title"/>
    <w:basedOn w:val="Policepardfaut"/>
    <w:uiPriority w:val="33"/>
    <w:qFormat/>
    <w:rsid w:val="003F2046"/>
    <w:rPr>
      <w:b/>
      <w:bCs/>
      <w:smallCaps/>
      <w:spacing w:val="5"/>
    </w:rPr>
  </w:style>
  <w:style w:type="character" w:customStyle="1" w:styleId="longtext1">
    <w:name w:val="long_text1"/>
    <w:basedOn w:val="Policepardfaut"/>
    <w:rsid w:val="00693251"/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256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Sofiane</dc:creator>
  <cp:lastModifiedBy>naima</cp:lastModifiedBy>
  <cp:revision>31</cp:revision>
  <dcterms:created xsi:type="dcterms:W3CDTF">2016-05-19T20:38:00Z</dcterms:created>
  <dcterms:modified xsi:type="dcterms:W3CDTF">2017-06-11T10:40:00Z</dcterms:modified>
</cp:coreProperties>
</file>