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11B5" w:rsidRPr="00E411B5" w:rsidRDefault="00E411B5" w:rsidP="00E411B5">
      <w:pPr>
        <w:bidi w:val="0"/>
        <w:rPr>
          <w:lang w:val="fr-FR" w:bidi="ar-DZ"/>
        </w:rPr>
      </w:pPr>
      <w:r w:rsidRPr="00E411B5">
        <w:rPr>
          <w:lang w:val="fr-FR" w:bidi="ar-DZ"/>
        </w:rPr>
        <w:t xml:space="preserve">Le but de ce travail est d'étudier les facteurs gouvernant l'adhérence entre un matériau de réparation et un support constitué d'un ancien béton. Ce travail est structuré en une partie expérimentale suivie d'une analyse numérique. </w:t>
      </w:r>
    </w:p>
    <w:p w:rsidR="00E411B5" w:rsidRPr="00E411B5" w:rsidRDefault="00E411B5" w:rsidP="00E411B5">
      <w:pPr>
        <w:bidi w:val="0"/>
        <w:rPr>
          <w:rtl/>
          <w:lang w:val="fr-FR" w:bidi="ar-DZ"/>
        </w:rPr>
      </w:pPr>
    </w:p>
    <w:p w:rsidR="00E411B5" w:rsidRPr="00E411B5" w:rsidRDefault="00E411B5" w:rsidP="00E411B5">
      <w:pPr>
        <w:bidi w:val="0"/>
        <w:rPr>
          <w:lang w:val="fr-FR" w:bidi="ar-DZ"/>
        </w:rPr>
      </w:pPr>
      <w:r w:rsidRPr="00E411B5">
        <w:rPr>
          <w:lang w:val="fr-FR" w:bidi="ar-DZ"/>
        </w:rPr>
        <w:t xml:space="preserve">La partie expérimentale est divisée en trois étapes : La première étudie l'influence de la préparation de la surface du support sur son adhérence avec un matériau de réparation. La seconde évalue l'utilisation du béton ordinaire (BO) comme un matériau de réparation, ainsi que trois types de bétons auto-plaçant (BAP, BAP avec fumée de silice et BAP avec fibres synthétiques). La troisième étudie le comportement d'une réparation appliquée sur un support présentant une entaille fine simulant une fissure préexistante. </w:t>
      </w:r>
    </w:p>
    <w:p w:rsidR="00E411B5" w:rsidRPr="00E411B5" w:rsidRDefault="00E411B5" w:rsidP="00E411B5">
      <w:pPr>
        <w:bidi w:val="0"/>
        <w:rPr>
          <w:rtl/>
          <w:lang w:val="fr-FR" w:bidi="ar-DZ"/>
        </w:rPr>
      </w:pPr>
    </w:p>
    <w:p w:rsidR="002653E5" w:rsidRPr="00E411B5" w:rsidRDefault="00E411B5" w:rsidP="00E411B5">
      <w:pPr>
        <w:bidi w:val="0"/>
        <w:rPr>
          <w:rFonts w:hint="cs"/>
          <w:lang w:val="fr-FR" w:bidi="ar-DZ"/>
        </w:rPr>
      </w:pPr>
      <w:r w:rsidRPr="00E411B5">
        <w:rPr>
          <w:lang w:val="fr-FR" w:bidi="ar-DZ"/>
        </w:rPr>
        <w:t>La partie numérique, utilisant le logiciel multidisciplinaire ANSYS V.11, est réalisée en trois parties distinctes : la première évalue la compatibilité des rigidités entre deux matériaux collés parfaitement entre eux. La deuxième et la troisième étudient respectivement l'intensité des contraintes, selon le concept de la mécanique linéaire élastique de la rupture, et l'évolution de l'entaille selon la mécanique non-linéaire de la rupture pour illustrer la zone du processus de fissuration (FPZ).</w:t>
      </w:r>
    </w:p>
    <w:sectPr w:rsidR="002653E5" w:rsidRPr="00E411B5"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411B5"/>
    <w:rsid w:val="002653E5"/>
    <w:rsid w:val="006D5754"/>
    <w:rsid w:val="00E411B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3E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187</Words>
  <Characters>1067</Characters>
  <Application>Microsoft Office Word</Application>
  <DocSecurity>0</DocSecurity>
  <Lines>8</Lines>
  <Paragraphs>2</Paragraphs>
  <ScaleCrop>false</ScaleCrop>
  <Company/>
  <LinksUpToDate>false</LinksUpToDate>
  <CharactersWithSpaces>1252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2014-12-11T09:56:00Z</dcterms:created>
  <dcterms:modified xsi:type="dcterms:W3CDTF">2014-12-11T09:56:00Z</dcterms:modified>
</cp:coreProperties>
</file>