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3B40" w:rsidRPr="0091104C" w:rsidRDefault="00DD2746" w:rsidP="00473B40">
      <w:pPr>
        <w:jc w:val="center"/>
        <w:rPr>
          <w:rStyle w:val="apple-style-span"/>
          <w:rFonts w:ascii="Times New Roman" w:hAnsi="Times New Roman" w:cs="Times New Roman"/>
          <w:b/>
          <w:iCs/>
          <w:color w:val="000000"/>
          <w:sz w:val="22"/>
          <w:szCs w:val="22"/>
        </w:rPr>
      </w:pPr>
      <w:r w:rsidRPr="00DD2746">
        <w:rPr>
          <w:rFonts w:ascii="Times New Roman" w:hAnsi="Times New Roman" w:cs="Times New Roman"/>
          <w:noProof/>
          <w:sz w:val="22"/>
          <w:szCs w:val="22"/>
        </w:rPr>
        <w:pict>
          <v:roundrect id="AutoShape 6" o:spid="_x0000_s1027" style="position:absolute;left:0;text-align:left;margin-left:-5.2pt;margin-top:-1.65pt;width:450.75pt;height:47.45pt;z-index:-25165516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" fillcolor="#d8d8d8 [2732]"/>
        </w:pict>
      </w:r>
      <w:r w:rsidR="00473B40" w:rsidRPr="0091104C">
        <w:rPr>
          <w:rStyle w:val="apple-style-span"/>
          <w:rFonts w:ascii="Times New Roman" w:hAnsi="Times New Roman" w:cs="Times New Roman"/>
          <w:b/>
          <w:iCs/>
          <w:color w:val="000000"/>
          <w:sz w:val="22"/>
          <w:szCs w:val="22"/>
        </w:rPr>
        <w:t xml:space="preserve">Synthèse de matériaux </w:t>
      </w:r>
      <w:proofErr w:type="spellStart"/>
      <w:r w:rsidR="00473B40" w:rsidRPr="0091104C">
        <w:rPr>
          <w:rStyle w:val="apple-style-span"/>
          <w:rFonts w:ascii="Times New Roman" w:hAnsi="Times New Roman" w:cs="Times New Roman"/>
          <w:b/>
          <w:iCs/>
          <w:color w:val="000000"/>
          <w:sz w:val="22"/>
          <w:szCs w:val="22"/>
        </w:rPr>
        <w:t>mésoporeux</w:t>
      </w:r>
      <w:proofErr w:type="spellEnd"/>
      <w:r w:rsidR="00473B40" w:rsidRPr="0091104C">
        <w:rPr>
          <w:rStyle w:val="apple-style-span"/>
          <w:rFonts w:ascii="Times New Roman" w:hAnsi="Times New Roman" w:cs="Times New Roman"/>
          <w:b/>
          <w:iCs/>
          <w:color w:val="000000"/>
          <w:sz w:val="22"/>
          <w:szCs w:val="22"/>
        </w:rPr>
        <w:t xml:space="preserve"> de types métal-phosphate et silicique fonctionnalisés. Application à l'adsorption de colorants d'effluents textiles. </w:t>
      </w:r>
    </w:p>
    <w:p w:rsidR="00473B40" w:rsidRPr="0091104C" w:rsidRDefault="00473B40" w:rsidP="00473B40">
      <w:pPr>
        <w:jc w:val="center"/>
        <w:rPr>
          <w:rFonts w:ascii="Times New Roman" w:hAnsi="Times New Roman" w:cs="Times New Roman"/>
          <w:b/>
          <w:bCs/>
          <w:sz w:val="22"/>
          <w:szCs w:val="22"/>
        </w:rPr>
      </w:pPr>
      <w:r w:rsidRPr="0091104C">
        <w:rPr>
          <w:rStyle w:val="apple-style-span"/>
          <w:rFonts w:ascii="Times New Roman" w:hAnsi="Times New Roman" w:cs="Times New Roman"/>
          <w:b/>
          <w:iCs/>
          <w:color w:val="000000"/>
          <w:sz w:val="22"/>
          <w:szCs w:val="22"/>
        </w:rPr>
        <w:t>Etude comparative**</w:t>
      </w:r>
      <w:r w:rsidRPr="0091104C">
        <w:rPr>
          <w:rStyle w:val="apple-style-span"/>
          <w:rFonts w:ascii="Times New Roman" w:hAnsi="Times New Roman" w:cs="Times New Roman"/>
          <w:b/>
          <w:color w:val="000000"/>
          <w:sz w:val="22"/>
          <w:szCs w:val="22"/>
        </w:rPr>
        <w:t>.</w:t>
      </w:r>
      <w:r w:rsidRPr="0091104C">
        <w:rPr>
          <w:rFonts w:ascii="Times New Roman" w:hAnsi="Times New Roman" w:cs="Times New Roman"/>
          <w:b/>
          <w:color w:val="000000"/>
          <w:sz w:val="22"/>
          <w:szCs w:val="22"/>
        </w:rPr>
        <w:br/>
      </w:r>
    </w:p>
    <w:p w:rsidR="00473B40" w:rsidRPr="0091104C" w:rsidRDefault="00473B40" w:rsidP="00473B40">
      <w:pPr>
        <w:ind w:firstLine="708"/>
        <w:jc w:val="center"/>
        <w:rPr>
          <w:rFonts w:ascii="Times New Roman" w:hAnsi="Times New Roman" w:cs="Times New Roman"/>
          <w:bCs/>
          <w:sz w:val="22"/>
          <w:szCs w:val="22"/>
        </w:rPr>
      </w:pPr>
      <w:r w:rsidRPr="0091104C">
        <w:rPr>
          <w:rFonts w:ascii="Times New Roman" w:hAnsi="Times New Roman" w:cs="Times New Roman"/>
          <w:sz w:val="22"/>
          <w:szCs w:val="22"/>
        </w:rPr>
        <w:t>Présenté par </w:t>
      </w:r>
      <w:r w:rsidRPr="0091104C">
        <w:rPr>
          <w:rFonts w:ascii="Times New Roman" w:hAnsi="Times New Roman" w:cs="Times New Roman"/>
          <w:bCs/>
          <w:sz w:val="22"/>
          <w:szCs w:val="22"/>
        </w:rPr>
        <w:t xml:space="preserve"> </w:t>
      </w:r>
    </w:p>
    <w:p w:rsidR="00473B40" w:rsidRPr="0091104C" w:rsidRDefault="00473B40" w:rsidP="00473B40">
      <w:pPr>
        <w:ind w:firstLine="708"/>
        <w:jc w:val="center"/>
        <w:rPr>
          <w:rFonts w:ascii="Times New Roman" w:hAnsi="Times New Roman" w:cs="Times New Roman"/>
          <w:b/>
          <w:bCs/>
          <w:sz w:val="22"/>
          <w:szCs w:val="22"/>
        </w:rPr>
      </w:pPr>
      <w:r w:rsidRPr="0091104C">
        <w:rPr>
          <w:rFonts w:ascii="Times New Roman" w:hAnsi="Times New Roman" w:cs="Times New Roman"/>
          <w:b/>
          <w:bCs/>
          <w:sz w:val="22"/>
          <w:szCs w:val="22"/>
        </w:rPr>
        <w:t xml:space="preserve">Melle </w:t>
      </w:r>
      <w:r w:rsidRPr="0091104C">
        <w:rPr>
          <w:rFonts w:ascii="Times New Roman" w:hAnsi="Times New Roman" w:cs="Times New Roman"/>
          <w:b/>
          <w:bCs/>
          <w:sz w:val="22"/>
          <w:szCs w:val="22"/>
          <w:u w:val="single"/>
        </w:rPr>
        <w:t>ROUMILA Yasmina</w:t>
      </w:r>
      <w:r w:rsidRPr="0091104C">
        <w:rPr>
          <w:rFonts w:ascii="Times New Roman" w:hAnsi="Times New Roman" w:cs="Times New Roman"/>
          <w:b/>
          <w:bCs/>
          <w:sz w:val="22"/>
          <w:szCs w:val="22"/>
        </w:rPr>
        <w:t>*</w:t>
      </w:r>
    </w:p>
    <w:p w:rsidR="00473B40" w:rsidRPr="0091104C" w:rsidRDefault="00473B40" w:rsidP="00473B40">
      <w:pPr>
        <w:ind w:firstLine="708"/>
        <w:jc w:val="center"/>
        <w:rPr>
          <w:rFonts w:ascii="Times New Roman" w:hAnsi="Times New Roman" w:cs="Times New Roman"/>
          <w:bCs/>
          <w:sz w:val="22"/>
          <w:szCs w:val="22"/>
        </w:rPr>
      </w:pPr>
      <w:r w:rsidRPr="0091104C">
        <w:rPr>
          <w:rFonts w:ascii="Times New Roman" w:hAnsi="Times New Roman" w:cs="Times New Roman"/>
          <w:bCs/>
          <w:sz w:val="22"/>
          <w:szCs w:val="22"/>
        </w:rPr>
        <w:t>Laboratoire d’Electrochimie-Corrosion, Métallurgie et Chimie Minérale</w:t>
      </w:r>
    </w:p>
    <w:p w:rsidR="00473B40" w:rsidRPr="0091104C" w:rsidRDefault="00473B40" w:rsidP="00473B40">
      <w:pPr>
        <w:ind w:firstLine="708"/>
        <w:jc w:val="center"/>
        <w:rPr>
          <w:rFonts w:ascii="Times New Roman" w:hAnsi="Times New Roman" w:cs="Times New Roman"/>
          <w:bCs/>
          <w:sz w:val="22"/>
          <w:szCs w:val="22"/>
        </w:rPr>
      </w:pPr>
      <w:r w:rsidRPr="0091104C">
        <w:rPr>
          <w:rFonts w:ascii="Times New Roman" w:hAnsi="Times New Roman" w:cs="Times New Roman"/>
          <w:bCs/>
          <w:sz w:val="22"/>
          <w:szCs w:val="22"/>
        </w:rPr>
        <w:t>Faculté de Chimie-USTHB</w:t>
      </w:r>
    </w:p>
    <w:p w:rsidR="00473B40" w:rsidRPr="0091104C" w:rsidRDefault="00473B40" w:rsidP="00473B40">
      <w:pPr>
        <w:ind w:firstLine="708"/>
        <w:jc w:val="center"/>
        <w:rPr>
          <w:rFonts w:ascii="Times New Roman" w:hAnsi="Times New Roman" w:cs="Times New Roman"/>
          <w:bCs/>
          <w:sz w:val="22"/>
          <w:szCs w:val="22"/>
        </w:rPr>
      </w:pPr>
      <w:r w:rsidRPr="0091104C">
        <w:rPr>
          <w:rFonts w:ascii="Times New Roman" w:hAnsi="Times New Roman" w:cs="Times New Roman"/>
          <w:bCs/>
          <w:sz w:val="22"/>
          <w:szCs w:val="22"/>
        </w:rPr>
        <w:t>Résumé</w:t>
      </w:r>
    </w:p>
    <w:p w:rsidR="00473B40" w:rsidRPr="0091104C" w:rsidRDefault="00DD2746" w:rsidP="00473B40">
      <w:pPr>
        <w:ind w:firstLine="708"/>
        <w:jc w:val="both"/>
        <w:rPr>
          <w:rFonts w:ascii="Times New Roman" w:hAnsi="Times New Roman" w:cs="Times New Roman"/>
          <w:b/>
          <w:bCs/>
          <w:sz w:val="22"/>
          <w:szCs w:val="22"/>
        </w:rPr>
      </w:pPr>
      <w:r>
        <w:rPr>
          <w:rFonts w:ascii="Times New Roman" w:hAnsi="Times New Roman" w:cs="Times New Roman"/>
          <w:b/>
          <w:bCs/>
          <w:noProof/>
          <w:sz w:val="22"/>
          <w:szCs w:val="22"/>
        </w:rPr>
        <w:pict>
          <v:shapetype id="_x0000_t202" coordsize="21600,21600" o:spt="202" path="m,l,21600r21600,l21600,xe">
            <v:stroke joinstyle="miter"/>
            <v:path gradientshapeok="t" o:connecttype="rect"/>
          </v:shapetype>
          <v:shape id="Text Box 3" o:spid="_x0000_s1026" type="#_x0000_t202" style="position:absolute;left:0;text-align:left;margin-left:-36.25pt;margin-top:3.15pt;width:521.7pt;height:649.65pt;z-index:2516602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">
            <v:textbox style="mso-next-textbox:#Text Box 3">
              <w:txbxContent>
                <w:p w:rsidR="00473B40" w:rsidRPr="008A3348" w:rsidRDefault="00473B40" w:rsidP="00473B40">
                  <w:pPr>
                    <w:ind w:firstLine="708"/>
                    <w:rPr>
                      <w:rFonts w:ascii="Times New Roman" w:hAnsi="Times New Roman" w:cs="Times New Roman"/>
                      <w:sz w:val="20"/>
                      <w:szCs w:val="20"/>
                    </w:rPr>
                  </w:pPr>
                </w:p>
                <w:p w:rsidR="00473B40" w:rsidRPr="0036312B" w:rsidRDefault="00473B40" w:rsidP="00473B40">
                  <w:pPr>
                    <w:jc w:val="both"/>
                    <w:rPr>
                      <w:rFonts w:ascii="Times New Roman" w:hAnsi="Times New Roman" w:cs="Times New Roman"/>
                      <w:sz w:val="22"/>
                      <w:szCs w:val="22"/>
                    </w:rPr>
                  </w:pPr>
                  <w:r w:rsidRPr="0036312B">
                    <w:rPr>
                      <w:rFonts w:ascii="Times New Roman" w:hAnsi="Times New Roman" w:cs="Times New Roman"/>
                      <w:sz w:val="22"/>
                      <w:szCs w:val="22"/>
                    </w:rPr>
                    <w:t xml:space="preserve">L’objectif de cette thèse est de synthétiser des matériaux de types </w:t>
                  </w:r>
                  <w:proofErr w:type="spellStart"/>
                  <w:r w:rsidRPr="0036312B">
                    <w:rPr>
                      <w:rFonts w:ascii="Times New Roman" w:hAnsi="Times New Roman" w:cs="Times New Roman"/>
                      <w:sz w:val="22"/>
                      <w:szCs w:val="22"/>
                    </w:rPr>
                    <w:t>métallophosphate</w:t>
                  </w:r>
                  <w:proofErr w:type="spellEnd"/>
                  <w:r w:rsidRPr="0036312B">
                    <w:rPr>
                      <w:rFonts w:ascii="Times New Roman" w:hAnsi="Times New Roman" w:cs="Times New Roman"/>
                      <w:sz w:val="22"/>
                      <w:szCs w:val="22"/>
                    </w:rPr>
                    <w:t xml:space="preserve"> et silicique ayant des propriétés d’application dans le domaine de l’environnement, notamment dans la dépollution des eaux.</w:t>
                  </w:r>
                </w:p>
                <w:p w:rsidR="00473B40" w:rsidRPr="0036312B" w:rsidRDefault="00473B40" w:rsidP="00473B40">
                  <w:pPr>
                    <w:jc w:val="both"/>
                    <w:rPr>
                      <w:rFonts w:ascii="Times New Roman" w:hAnsi="Times New Roman" w:cs="Times New Roman"/>
                      <w:sz w:val="22"/>
                      <w:szCs w:val="22"/>
                    </w:rPr>
                  </w:pPr>
                  <w:r w:rsidRPr="0036312B">
                    <w:rPr>
                      <w:rFonts w:ascii="Times New Roman" w:hAnsi="Times New Roman" w:cs="Times New Roman"/>
                      <w:sz w:val="22"/>
                      <w:szCs w:val="22"/>
                    </w:rPr>
                    <w:t>Dans une première partie de ce travail, nous avons préparé une série de matériaux, par voix hydrothermale, en présence d’un structurant organique de type surfactant : le bromure d’</w:t>
                  </w:r>
                  <w:proofErr w:type="spellStart"/>
                  <w:r w:rsidRPr="0036312B">
                    <w:rPr>
                      <w:rFonts w:ascii="Times New Roman" w:hAnsi="Times New Roman" w:cs="Times New Roman"/>
                      <w:sz w:val="22"/>
                      <w:szCs w:val="22"/>
                    </w:rPr>
                    <w:t>hexadécyltriméthylammonium</w:t>
                  </w:r>
                  <w:proofErr w:type="spellEnd"/>
                  <w:r w:rsidRPr="0036312B">
                    <w:rPr>
                      <w:rFonts w:ascii="Times New Roman" w:hAnsi="Times New Roman" w:cs="Times New Roman"/>
                      <w:sz w:val="22"/>
                      <w:szCs w:val="22"/>
                    </w:rPr>
                    <w:t xml:space="preserve">. L’utilisation d’un structurant a pour but de créer des fonctionnalités et des porosités afin d’améliorer les propriétés physicochimiques des composés. A titre de comparaison, nous avons également traité et appliqué un matériau naturel, </w:t>
                  </w:r>
                  <w:r>
                    <w:rPr>
                      <w:rFonts w:ascii="Times New Roman" w:hAnsi="Times New Roman" w:cs="Times New Roman"/>
                      <w:sz w:val="22"/>
                      <w:szCs w:val="22"/>
                    </w:rPr>
                    <w:t xml:space="preserve">de type </w:t>
                  </w:r>
                  <w:proofErr w:type="spellStart"/>
                  <w:r>
                    <w:rPr>
                      <w:rFonts w:ascii="Times New Roman" w:hAnsi="Times New Roman" w:cs="Times New Roman"/>
                      <w:sz w:val="22"/>
                      <w:szCs w:val="22"/>
                    </w:rPr>
                    <w:t>métallophosphate</w:t>
                  </w:r>
                  <w:proofErr w:type="spellEnd"/>
                  <w:r>
                    <w:rPr>
                      <w:rFonts w:ascii="Times New Roman" w:hAnsi="Times New Roman" w:cs="Times New Roman"/>
                      <w:sz w:val="22"/>
                      <w:szCs w:val="22"/>
                    </w:rPr>
                    <w:t>, afin de valoriser une ressource naturelle dont l’Algérie est si riche</w:t>
                  </w:r>
                  <w:r w:rsidRPr="0036312B">
                    <w:rPr>
                      <w:rFonts w:ascii="Times New Roman" w:hAnsi="Times New Roman" w:cs="Times New Roman"/>
                      <w:sz w:val="22"/>
                      <w:szCs w:val="22"/>
                    </w:rPr>
                    <w:t>.</w:t>
                  </w:r>
                </w:p>
                <w:p w:rsidR="00473B40" w:rsidRPr="0036312B" w:rsidRDefault="00473B40" w:rsidP="00473B40">
                  <w:pPr>
                    <w:pStyle w:val="Normaljustifi"/>
                    <w:jc w:val="both"/>
                    <w:rPr>
                      <w:sz w:val="22"/>
                      <w:szCs w:val="22"/>
                    </w:rPr>
                  </w:pPr>
                </w:p>
                <w:p w:rsidR="00473B40" w:rsidRPr="0036312B" w:rsidRDefault="00473B40" w:rsidP="00473B40">
                  <w:pPr>
                    <w:pStyle w:val="Normaljustifi"/>
                    <w:jc w:val="both"/>
                    <w:rPr>
                      <w:sz w:val="22"/>
                      <w:szCs w:val="22"/>
                    </w:rPr>
                  </w:pPr>
                  <w:r w:rsidRPr="0036312B">
                    <w:rPr>
                      <w:sz w:val="22"/>
                      <w:szCs w:val="22"/>
                    </w:rPr>
                    <w:t>La deuxième partie de la thèse est consacrée à la caractérisation des différents matériaux par plusieurs techniques physico-chimiques dont : la diffraction des rayons X, l’analyse thermique (ATG/DTG), la spectrométrie de masse</w:t>
                  </w:r>
                  <w:r>
                    <w:rPr>
                      <w:sz w:val="22"/>
                      <w:szCs w:val="22"/>
                    </w:rPr>
                    <w:t xml:space="preserve"> (pour certains matériaux)</w:t>
                  </w:r>
                  <w:r w:rsidRPr="0036312B">
                    <w:rPr>
                      <w:sz w:val="22"/>
                      <w:szCs w:val="22"/>
                    </w:rPr>
                    <w:t xml:space="preserve">, la spectroscopie </w:t>
                  </w:r>
                  <w:proofErr w:type="spellStart"/>
                  <w:r w:rsidRPr="0036312B">
                    <w:rPr>
                      <w:sz w:val="22"/>
                      <w:szCs w:val="22"/>
                    </w:rPr>
                    <w:t>infra-rouge</w:t>
                  </w:r>
                  <w:proofErr w:type="spellEnd"/>
                  <w:r w:rsidRPr="0036312B">
                    <w:rPr>
                      <w:sz w:val="22"/>
                      <w:szCs w:val="22"/>
                    </w:rPr>
                    <w:t xml:space="preserve"> à transformée de Fourier, la spectroscopie de </w:t>
                  </w:r>
                  <w:proofErr w:type="spellStart"/>
                  <w:r w:rsidRPr="0036312B">
                    <w:rPr>
                      <w:sz w:val="22"/>
                      <w:szCs w:val="22"/>
                    </w:rPr>
                    <w:t>réflectance</w:t>
                  </w:r>
                  <w:proofErr w:type="spellEnd"/>
                  <w:r w:rsidRPr="0036312B">
                    <w:rPr>
                      <w:sz w:val="22"/>
                      <w:szCs w:val="22"/>
                    </w:rPr>
                    <w:t xml:space="preserve"> UV visible proche IR, la fluorescence X, la microscopie électronique à balayage avec EDX et l’étude de l’état de surface par la méthode BET</w:t>
                  </w:r>
                  <w:r>
                    <w:rPr>
                      <w:sz w:val="22"/>
                      <w:szCs w:val="22"/>
                    </w:rPr>
                    <w:t xml:space="preserve"> (pour certains matériaux)</w:t>
                  </w:r>
                  <w:r w:rsidRPr="0036312B">
                    <w:rPr>
                      <w:sz w:val="22"/>
                      <w:szCs w:val="22"/>
                    </w:rPr>
                    <w:t>.</w:t>
                  </w:r>
                </w:p>
                <w:p w:rsidR="00473B40" w:rsidRPr="0036312B" w:rsidRDefault="00473B40" w:rsidP="00473B40">
                  <w:pPr>
                    <w:pStyle w:val="Normaljustifi"/>
                    <w:jc w:val="both"/>
                    <w:rPr>
                      <w:sz w:val="22"/>
                      <w:szCs w:val="22"/>
                    </w:rPr>
                  </w:pPr>
                  <w:r w:rsidRPr="0036312B">
                    <w:rPr>
                      <w:sz w:val="22"/>
                      <w:szCs w:val="22"/>
                    </w:rPr>
                    <w:t xml:space="preserve">L’analyse par diffraction des rayons X nous a permis d’identifier certains des matériaux synthétisés. Nous présenterons dans ce travail ceux qui se sont révélés les plus intéressants dans le domaine de l’application recherchée : deux phases de type </w:t>
                  </w:r>
                  <w:proofErr w:type="spellStart"/>
                  <w:r w:rsidRPr="0036312B">
                    <w:rPr>
                      <w:sz w:val="22"/>
                      <w:szCs w:val="22"/>
                    </w:rPr>
                    <w:t>libéthénite</w:t>
                  </w:r>
                  <w:proofErr w:type="spellEnd"/>
                  <w:r w:rsidRPr="0036312B">
                    <w:rPr>
                      <w:sz w:val="22"/>
                      <w:szCs w:val="22"/>
                    </w:rPr>
                    <w:t>, deux composés siliciques dont une zéolithe β et une SBA pures ou modifiées</w:t>
                  </w:r>
                  <w:r>
                    <w:rPr>
                      <w:sz w:val="22"/>
                      <w:szCs w:val="22"/>
                    </w:rPr>
                    <w:t xml:space="preserve"> ainsi que l</w:t>
                  </w:r>
                  <w:r w:rsidRPr="0036312B">
                    <w:rPr>
                      <w:sz w:val="22"/>
                      <w:szCs w:val="22"/>
                    </w:rPr>
                    <w:t xml:space="preserve">e phosphate naturel caractérisé comme étant une </w:t>
                  </w:r>
                  <w:r>
                    <w:rPr>
                      <w:sz w:val="22"/>
                      <w:szCs w:val="22"/>
                    </w:rPr>
                    <w:t>« </w:t>
                  </w:r>
                  <w:proofErr w:type="spellStart"/>
                  <w:r w:rsidRPr="008A3348">
                    <w:rPr>
                      <w:sz w:val="22"/>
                      <w:szCs w:val="22"/>
                    </w:rPr>
                    <w:t>hydroxy</w:t>
                  </w:r>
                  <w:proofErr w:type="spellEnd"/>
                  <w:r>
                    <w:rPr>
                      <w:sz w:val="22"/>
                      <w:szCs w:val="22"/>
                    </w:rPr>
                    <w:t>-</w:t>
                  </w:r>
                  <w:proofErr w:type="spellStart"/>
                  <w:r w:rsidRPr="008A3348">
                    <w:rPr>
                      <w:sz w:val="22"/>
                      <w:szCs w:val="22"/>
                    </w:rPr>
                    <w:t>fluoroapatite</w:t>
                  </w:r>
                  <w:proofErr w:type="spellEnd"/>
                  <w:r>
                    <w:rPr>
                      <w:sz w:val="22"/>
                      <w:szCs w:val="22"/>
                    </w:rPr>
                    <w:t xml:space="preserve"> carbonatée »</w:t>
                  </w:r>
                  <w:r w:rsidRPr="0036312B">
                    <w:rPr>
                      <w:sz w:val="22"/>
                      <w:szCs w:val="22"/>
                    </w:rPr>
                    <w:t xml:space="preserve">. </w:t>
                  </w:r>
                </w:p>
                <w:p w:rsidR="00473B40" w:rsidRPr="0036312B" w:rsidRDefault="00473B40" w:rsidP="00473B40">
                  <w:pPr>
                    <w:pStyle w:val="Normaljustifi"/>
                    <w:jc w:val="both"/>
                    <w:rPr>
                      <w:sz w:val="22"/>
                      <w:szCs w:val="22"/>
                    </w:rPr>
                  </w:pPr>
                </w:p>
                <w:p w:rsidR="00473B40" w:rsidRDefault="00473B40" w:rsidP="00473B40">
                  <w:pPr>
                    <w:pStyle w:val="Normaljustifi"/>
                    <w:jc w:val="both"/>
                    <w:rPr>
                      <w:sz w:val="22"/>
                      <w:szCs w:val="22"/>
                    </w:rPr>
                  </w:pPr>
                  <w:r w:rsidRPr="0036312B">
                    <w:rPr>
                      <w:sz w:val="22"/>
                      <w:szCs w:val="22"/>
                    </w:rPr>
                    <w:t>Dans la troisième partie de ce travail, les matériaux ont été appliqués dans le domaine de la dépollution des eaux. Nous avons porté l’accent, dans le cadre de cette thèse, sur l’élimination de colorants cationiques et anioniques. Nous rapportons les résultats obtenus avec la rhodamine B</w:t>
                  </w:r>
                  <w:r>
                    <w:rPr>
                      <w:sz w:val="22"/>
                      <w:szCs w:val="22"/>
                    </w:rPr>
                    <w:t xml:space="preserve"> </w:t>
                  </w:r>
                  <w:r w:rsidRPr="0036312B">
                    <w:rPr>
                      <w:sz w:val="22"/>
                      <w:szCs w:val="22"/>
                    </w:rPr>
                    <w:t xml:space="preserve">(de la famille des </w:t>
                  </w:r>
                  <w:proofErr w:type="spellStart"/>
                  <w:r w:rsidRPr="0036312B">
                    <w:rPr>
                      <w:sz w:val="22"/>
                      <w:szCs w:val="22"/>
                    </w:rPr>
                    <w:t>xanthènes</w:t>
                  </w:r>
                  <w:proofErr w:type="spellEnd"/>
                  <w:r w:rsidRPr="0036312B">
                    <w:rPr>
                      <w:sz w:val="22"/>
                      <w:szCs w:val="22"/>
                    </w:rPr>
                    <w:t xml:space="preserve">), le violet de méthyle </w:t>
                  </w:r>
                  <w:r>
                    <w:rPr>
                      <w:sz w:val="22"/>
                      <w:szCs w:val="22"/>
                    </w:rPr>
                    <w:t>(</w:t>
                  </w:r>
                  <w:r w:rsidRPr="0036312B">
                    <w:rPr>
                      <w:sz w:val="22"/>
                      <w:szCs w:val="22"/>
                    </w:rPr>
                    <w:t xml:space="preserve">colorant </w:t>
                  </w:r>
                  <w:proofErr w:type="spellStart"/>
                  <w:r w:rsidRPr="0036312B">
                    <w:rPr>
                      <w:sz w:val="22"/>
                      <w:szCs w:val="22"/>
                    </w:rPr>
                    <w:t>triarylméthane</w:t>
                  </w:r>
                  <w:proofErr w:type="spellEnd"/>
                  <w:r w:rsidRPr="0036312B">
                    <w:rPr>
                      <w:sz w:val="22"/>
                      <w:szCs w:val="22"/>
                    </w:rPr>
                    <w:t>) et l’orange G</w:t>
                  </w:r>
                  <w:r>
                    <w:rPr>
                      <w:sz w:val="22"/>
                      <w:szCs w:val="22"/>
                    </w:rPr>
                    <w:t xml:space="preserve"> (</w:t>
                  </w:r>
                  <w:r w:rsidRPr="0036312B">
                    <w:rPr>
                      <w:sz w:val="22"/>
                      <w:szCs w:val="22"/>
                    </w:rPr>
                    <w:t>un colorant azoïque</w:t>
                  </w:r>
                  <w:r>
                    <w:rPr>
                      <w:sz w:val="22"/>
                      <w:szCs w:val="22"/>
                    </w:rPr>
                    <w:t>)</w:t>
                  </w:r>
                  <w:r w:rsidRPr="0036312B">
                    <w:rPr>
                      <w:sz w:val="22"/>
                      <w:szCs w:val="22"/>
                    </w:rPr>
                    <w:t>.</w:t>
                  </w:r>
                </w:p>
                <w:p w:rsidR="00473B40" w:rsidRPr="0036312B" w:rsidRDefault="00473B40" w:rsidP="00473B40">
                  <w:pPr>
                    <w:pStyle w:val="Normaljustifi"/>
                    <w:jc w:val="both"/>
                    <w:rPr>
                      <w:sz w:val="22"/>
                      <w:szCs w:val="22"/>
                    </w:rPr>
                  </w:pPr>
                </w:p>
                <w:p w:rsidR="00473B40" w:rsidRPr="0036312B" w:rsidRDefault="00473B40" w:rsidP="00473B40">
                  <w:pPr>
                    <w:jc w:val="both"/>
                    <w:rPr>
                      <w:rFonts w:ascii="Times New Roman" w:hAnsi="Times New Roman" w:cs="Times New Roman"/>
                      <w:sz w:val="22"/>
                      <w:szCs w:val="22"/>
                    </w:rPr>
                  </w:pPr>
                  <w:r w:rsidRPr="0036312B">
                    <w:rPr>
                      <w:rFonts w:ascii="Times New Roman" w:hAnsi="Times New Roman" w:cs="Times New Roman"/>
                      <w:sz w:val="22"/>
                      <w:szCs w:val="22"/>
                    </w:rPr>
                    <w:t>L’une des techniques que nous avons initialement adoptée est la technique par adsorption, la plus communément utilisée pour sa simplicité d’application et son faible coût. L’influence de certains paramètres comme le pH, la température et l’effet de la présence de sels a été étudiée. Une approche cinétique et thermodynamique est présentée pour certains des composés.</w:t>
                  </w:r>
                </w:p>
                <w:p w:rsidR="00473B40" w:rsidRDefault="00473B40" w:rsidP="00473B40">
                  <w:pPr>
                    <w:jc w:val="both"/>
                    <w:rPr>
                      <w:rFonts w:ascii="Times New Roman" w:hAnsi="Times New Roman" w:cs="Times New Roman"/>
                      <w:sz w:val="22"/>
                      <w:szCs w:val="22"/>
                    </w:rPr>
                  </w:pPr>
                  <w:r>
                    <w:rPr>
                      <w:rFonts w:ascii="Times New Roman" w:hAnsi="Times New Roman" w:cs="Times New Roman"/>
                      <w:sz w:val="22"/>
                      <w:szCs w:val="22"/>
                    </w:rPr>
                    <w:t>Cette technique présente néanmoins des insuffisances, dans la mesure où le polluant est certes adsorbé, éliminé de la phase aqueuse mais non dégradé. Il peut donc représenter une pollution par ailleurs.</w:t>
                  </w:r>
                </w:p>
                <w:p w:rsidR="00473B40" w:rsidRPr="0036312B" w:rsidRDefault="00473B40" w:rsidP="00473B40">
                  <w:pPr>
                    <w:jc w:val="both"/>
                    <w:rPr>
                      <w:rFonts w:ascii="Times New Roman" w:hAnsi="Times New Roman" w:cs="Times New Roman"/>
                      <w:sz w:val="22"/>
                      <w:szCs w:val="22"/>
                    </w:rPr>
                  </w:pPr>
                  <w:r>
                    <w:rPr>
                      <w:rFonts w:ascii="Times New Roman" w:hAnsi="Times New Roman" w:cs="Times New Roman"/>
                      <w:sz w:val="22"/>
                      <w:szCs w:val="22"/>
                    </w:rPr>
                    <w:t xml:space="preserve"> </w:t>
                  </w:r>
                </w:p>
                <w:p w:rsidR="00473B40" w:rsidRDefault="00473B40" w:rsidP="00473B40">
                  <w:pPr>
                    <w:jc w:val="both"/>
                    <w:rPr>
                      <w:rFonts w:ascii="Times New Roman" w:hAnsi="Times New Roman" w:cs="Times New Roman"/>
                      <w:color w:val="000000"/>
                      <w:sz w:val="22"/>
                      <w:szCs w:val="22"/>
                    </w:rPr>
                  </w:pPr>
                  <w:r>
                    <w:rPr>
                      <w:rFonts w:ascii="Times New Roman" w:hAnsi="Times New Roman" w:cs="Times New Roman"/>
                      <w:sz w:val="22"/>
                      <w:szCs w:val="22"/>
                    </w:rPr>
                    <w:t xml:space="preserve">Les propriétés semi-conductrices révélées par certains de nos matériaux, </w:t>
                  </w:r>
                  <w:r w:rsidRPr="0036312B">
                    <w:rPr>
                      <w:rFonts w:ascii="Times New Roman" w:hAnsi="Times New Roman" w:cs="Times New Roman"/>
                      <w:sz w:val="22"/>
                      <w:szCs w:val="22"/>
                    </w:rPr>
                    <w:t>grâce à la mesure de leur conductivité électrique</w:t>
                  </w:r>
                  <w:r>
                    <w:rPr>
                      <w:rFonts w:ascii="Times New Roman" w:hAnsi="Times New Roman" w:cs="Times New Roman"/>
                      <w:sz w:val="22"/>
                      <w:szCs w:val="22"/>
                    </w:rPr>
                    <w:t xml:space="preserve">, nous ont suggéré leur application dans l’élimination des colorants par </w:t>
                  </w:r>
                  <w:proofErr w:type="spellStart"/>
                  <w:r>
                    <w:rPr>
                      <w:rFonts w:ascii="Times New Roman" w:hAnsi="Times New Roman" w:cs="Times New Roman"/>
                      <w:sz w:val="22"/>
                      <w:szCs w:val="22"/>
                    </w:rPr>
                    <w:t>photocatalyse</w:t>
                  </w:r>
                  <w:proofErr w:type="spellEnd"/>
                  <w:r>
                    <w:rPr>
                      <w:rFonts w:ascii="Times New Roman" w:hAnsi="Times New Roman" w:cs="Times New Roman"/>
                      <w:sz w:val="22"/>
                      <w:szCs w:val="22"/>
                    </w:rPr>
                    <w:t xml:space="preserve"> </w:t>
                  </w:r>
                  <w:r w:rsidRPr="0036312B">
                    <w:rPr>
                      <w:rFonts w:ascii="Times New Roman" w:hAnsi="Times New Roman" w:cs="Times New Roman"/>
                      <w:sz w:val="22"/>
                      <w:szCs w:val="22"/>
                    </w:rPr>
                    <w:t>hétérogène</w:t>
                  </w:r>
                  <w:r>
                    <w:rPr>
                      <w:rFonts w:ascii="Times New Roman" w:hAnsi="Times New Roman" w:cs="Times New Roman"/>
                      <w:sz w:val="22"/>
                      <w:szCs w:val="22"/>
                    </w:rPr>
                    <w:t>, en combinaison avec l’adsorption. D</w:t>
                  </w:r>
                  <w:r w:rsidRPr="0036312B">
                    <w:rPr>
                      <w:rFonts w:ascii="Times New Roman" w:hAnsi="Times New Roman" w:cs="Times New Roman"/>
                      <w:sz w:val="22"/>
                      <w:szCs w:val="22"/>
                    </w:rPr>
                    <w:t xml:space="preserve">es études optiques et </w:t>
                  </w:r>
                  <w:proofErr w:type="spellStart"/>
                  <w:r w:rsidRPr="0036312B">
                    <w:rPr>
                      <w:rFonts w:ascii="Times New Roman" w:hAnsi="Times New Roman" w:cs="Times New Roman"/>
                      <w:sz w:val="22"/>
                      <w:szCs w:val="22"/>
                    </w:rPr>
                    <w:t>photoélectrochimiques</w:t>
                  </w:r>
                  <w:proofErr w:type="spellEnd"/>
                  <w:r w:rsidRPr="0036312B">
                    <w:rPr>
                      <w:rFonts w:ascii="Times New Roman" w:hAnsi="Times New Roman" w:cs="Times New Roman"/>
                      <w:sz w:val="22"/>
                      <w:szCs w:val="22"/>
                    </w:rPr>
                    <w:t xml:space="preserve"> </w:t>
                  </w:r>
                  <w:r>
                    <w:rPr>
                      <w:rFonts w:ascii="Times New Roman" w:hAnsi="Times New Roman" w:cs="Times New Roman"/>
                      <w:sz w:val="22"/>
                      <w:szCs w:val="22"/>
                    </w:rPr>
                    <w:t xml:space="preserve">ont été </w:t>
                  </w:r>
                  <w:r w:rsidRPr="0036312B">
                    <w:rPr>
                      <w:rFonts w:ascii="Times New Roman" w:hAnsi="Times New Roman" w:cs="Times New Roman"/>
                      <w:sz w:val="22"/>
                      <w:szCs w:val="22"/>
                    </w:rPr>
                    <w:t xml:space="preserve">menées </w:t>
                  </w:r>
                  <w:r>
                    <w:rPr>
                      <w:rFonts w:ascii="Times New Roman" w:hAnsi="Times New Roman" w:cs="Times New Roman"/>
                      <w:sz w:val="22"/>
                      <w:szCs w:val="22"/>
                    </w:rPr>
                    <w:t xml:space="preserve">sur </w:t>
                  </w:r>
                  <w:r w:rsidRPr="0036312B">
                    <w:rPr>
                      <w:rFonts w:ascii="Times New Roman" w:hAnsi="Times New Roman" w:cs="Times New Roman"/>
                      <w:sz w:val="22"/>
                      <w:szCs w:val="22"/>
                    </w:rPr>
                    <w:t xml:space="preserve">une phase de type </w:t>
                  </w:r>
                  <w:proofErr w:type="spellStart"/>
                  <w:r w:rsidRPr="0036312B">
                    <w:rPr>
                      <w:rFonts w:ascii="Times New Roman" w:hAnsi="Times New Roman" w:cs="Times New Roman"/>
                      <w:sz w:val="22"/>
                      <w:szCs w:val="22"/>
                    </w:rPr>
                    <w:t>libéthénite</w:t>
                  </w:r>
                  <w:proofErr w:type="spellEnd"/>
                  <w:r w:rsidRPr="0036312B">
                    <w:rPr>
                      <w:rFonts w:ascii="Times New Roman" w:hAnsi="Times New Roman" w:cs="Times New Roman"/>
                      <w:sz w:val="22"/>
                      <w:szCs w:val="22"/>
                    </w:rPr>
                    <w:t xml:space="preserve"> </w:t>
                  </w:r>
                  <w:r>
                    <w:rPr>
                      <w:rFonts w:ascii="Times New Roman" w:hAnsi="Times New Roman" w:cs="Times New Roman"/>
                      <w:sz w:val="22"/>
                      <w:szCs w:val="22"/>
                    </w:rPr>
                    <w:t>et sur l</w:t>
                  </w:r>
                  <w:r w:rsidRPr="0036312B">
                    <w:rPr>
                      <w:rFonts w:ascii="Times New Roman" w:hAnsi="Times New Roman" w:cs="Times New Roman"/>
                      <w:sz w:val="22"/>
                      <w:szCs w:val="22"/>
                    </w:rPr>
                    <w:t>e phosphate naturel</w:t>
                  </w:r>
                  <w:r>
                    <w:rPr>
                      <w:rFonts w:ascii="Times New Roman" w:hAnsi="Times New Roman" w:cs="Times New Roman"/>
                      <w:sz w:val="22"/>
                      <w:szCs w:val="22"/>
                    </w:rPr>
                    <w:t xml:space="preserve">. Les matériaux présentent un comportement de </w:t>
                  </w:r>
                  <w:r w:rsidRPr="0036312B">
                    <w:rPr>
                      <w:rFonts w:ascii="Times New Roman" w:hAnsi="Times New Roman" w:cs="Times New Roman"/>
                      <w:sz w:val="22"/>
                      <w:szCs w:val="22"/>
                    </w:rPr>
                    <w:t xml:space="preserve">semi-conducteurs de type n. Des diagrammes d’énergies </w:t>
                  </w:r>
                  <w:r w:rsidRPr="0036312B">
                    <w:rPr>
                      <w:rFonts w:ascii="Times New Roman" w:hAnsi="Times New Roman" w:cs="Times New Roman"/>
                      <w:color w:val="000000"/>
                      <w:sz w:val="22"/>
                      <w:szCs w:val="22"/>
                    </w:rPr>
                    <w:t>des bandes de conduction et de valence ont été tracés en vue d’une prévision des potentialités de ces matériaux</w:t>
                  </w:r>
                  <w:r w:rsidRPr="0036312B">
                    <w:rPr>
                      <w:rFonts w:ascii="Times New Roman" w:hAnsi="Times New Roman" w:cs="Times New Roman"/>
                      <w:sz w:val="22"/>
                      <w:szCs w:val="22"/>
                    </w:rPr>
                    <w:t xml:space="preserve"> dans le domaine de la </w:t>
                  </w:r>
                  <w:proofErr w:type="spellStart"/>
                  <w:r w:rsidRPr="0036312B">
                    <w:rPr>
                      <w:rFonts w:ascii="Times New Roman" w:hAnsi="Times New Roman" w:cs="Times New Roman"/>
                      <w:sz w:val="22"/>
                      <w:szCs w:val="22"/>
                    </w:rPr>
                    <w:t>photocatalyse</w:t>
                  </w:r>
                  <w:proofErr w:type="spellEnd"/>
                  <w:r w:rsidRPr="0036312B">
                    <w:rPr>
                      <w:rFonts w:ascii="Times New Roman" w:hAnsi="Times New Roman" w:cs="Times New Roman"/>
                      <w:sz w:val="22"/>
                      <w:szCs w:val="22"/>
                    </w:rPr>
                    <w:t xml:space="preserve"> et pour une </w:t>
                  </w:r>
                  <w:r w:rsidRPr="0036312B">
                    <w:rPr>
                      <w:rFonts w:ascii="Times New Roman" w:hAnsi="Times New Roman" w:cs="Times New Roman"/>
                      <w:color w:val="000000"/>
                      <w:sz w:val="22"/>
                      <w:szCs w:val="22"/>
                    </w:rPr>
                    <w:t>bonne interprétation des processus de dégradation par oxydation des colorants étudiés.</w:t>
                  </w:r>
                </w:p>
                <w:p w:rsidR="00473B40" w:rsidRPr="0036312B" w:rsidRDefault="00473B40" w:rsidP="00473B40">
                  <w:pPr>
                    <w:jc w:val="both"/>
                    <w:rPr>
                      <w:rFonts w:ascii="Times New Roman" w:hAnsi="Times New Roman" w:cs="Times New Roman"/>
                      <w:color w:val="000000"/>
                      <w:sz w:val="22"/>
                      <w:szCs w:val="22"/>
                    </w:rPr>
                  </w:pPr>
                </w:p>
                <w:p w:rsidR="00473B40" w:rsidRDefault="00473B40" w:rsidP="00473B40">
                  <w:pPr>
                    <w:jc w:val="both"/>
                    <w:rPr>
                      <w:rFonts w:ascii="Times New Roman" w:hAnsi="Times New Roman" w:cs="Times New Roman"/>
                      <w:sz w:val="22"/>
                      <w:szCs w:val="22"/>
                    </w:rPr>
                  </w:pPr>
                  <w:r>
                    <w:rPr>
                      <w:rFonts w:ascii="Times New Roman" w:hAnsi="Times New Roman" w:cs="Times New Roman"/>
                      <w:sz w:val="22"/>
                      <w:szCs w:val="22"/>
                    </w:rPr>
                    <w:t>La</w:t>
                  </w:r>
                  <w:r w:rsidRPr="0036312B">
                    <w:rPr>
                      <w:rFonts w:ascii="Times New Roman" w:hAnsi="Times New Roman" w:cs="Times New Roman"/>
                      <w:sz w:val="22"/>
                      <w:szCs w:val="22"/>
                    </w:rPr>
                    <w:t xml:space="preserve"> phase de type </w:t>
                  </w:r>
                  <w:proofErr w:type="spellStart"/>
                  <w:r w:rsidRPr="0036312B">
                    <w:rPr>
                      <w:rFonts w:ascii="Times New Roman" w:hAnsi="Times New Roman" w:cs="Times New Roman"/>
                      <w:sz w:val="22"/>
                      <w:szCs w:val="22"/>
                    </w:rPr>
                    <w:t>libéthénite</w:t>
                  </w:r>
                  <w:proofErr w:type="spellEnd"/>
                  <w:r w:rsidRPr="00062C18">
                    <w:rPr>
                      <w:rFonts w:ascii="Times New Roman" w:hAnsi="Times New Roman" w:cs="Times New Roman"/>
                      <w:sz w:val="22"/>
                      <w:szCs w:val="22"/>
                    </w:rPr>
                    <w:t xml:space="preserve"> a révé</w:t>
                  </w:r>
                  <w:r>
                    <w:rPr>
                      <w:rFonts w:ascii="Times New Roman" w:hAnsi="Times New Roman" w:cs="Times New Roman"/>
                      <w:sz w:val="22"/>
                      <w:szCs w:val="22"/>
                    </w:rPr>
                    <w:t>lé une grande</w:t>
                  </w:r>
                  <w:r w:rsidRPr="0036312B">
                    <w:rPr>
                      <w:rFonts w:ascii="Times New Roman" w:hAnsi="Times New Roman" w:cs="Times New Roman"/>
                      <w:sz w:val="22"/>
                      <w:szCs w:val="22"/>
                    </w:rPr>
                    <w:t xml:space="preserve"> efficacité </w:t>
                  </w:r>
                  <w:r>
                    <w:rPr>
                      <w:rFonts w:ascii="Times New Roman" w:hAnsi="Times New Roman" w:cs="Times New Roman"/>
                      <w:sz w:val="22"/>
                      <w:szCs w:val="22"/>
                    </w:rPr>
                    <w:t>comme</w:t>
                  </w:r>
                  <w:r w:rsidRPr="0036312B">
                    <w:rPr>
                      <w:rFonts w:ascii="Times New Roman" w:hAnsi="Times New Roman" w:cs="Times New Roman"/>
                      <w:sz w:val="22"/>
                      <w:szCs w:val="22"/>
                    </w:rPr>
                    <w:t xml:space="preserve"> </w:t>
                  </w:r>
                  <w:proofErr w:type="spellStart"/>
                  <w:r w:rsidRPr="0036312B">
                    <w:rPr>
                      <w:rFonts w:ascii="Times New Roman" w:hAnsi="Times New Roman" w:cs="Times New Roman"/>
                      <w:sz w:val="22"/>
                      <w:szCs w:val="22"/>
                    </w:rPr>
                    <w:t>photocatalyseur</w:t>
                  </w:r>
                  <w:proofErr w:type="spellEnd"/>
                  <w:r w:rsidRPr="0036312B">
                    <w:rPr>
                      <w:rFonts w:ascii="Times New Roman" w:hAnsi="Times New Roman" w:cs="Times New Roman"/>
                      <w:sz w:val="22"/>
                      <w:szCs w:val="22"/>
                    </w:rPr>
                    <w:t xml:space="preserve"> </w:t>
                  </w:r>
                  <w:r>
                    <w:rPr>
                      <w:rFonts w:ascii="Times New Roman" w:hAnsi="Times New Roman" w:cs="Times New Roman"/>
                      <w:sz w:val="22"/>
                      <w:szCs w:val="22"/>
                    </w:rPr>
                    <w:t>dans</w:t>
                  </w:r>
                  <w:r w:rsidRPr="0036312B">
                    <w:rPr>
                      <w:rFonts w:ascii="Times New Roman" w:hAnsi="Times New Roman" w:cs="Times New Roman"/>
                      <w:sz w:val="22"/>
                      <w:szCs w:val="22"/>
                    </w:rPr>
                    <w:t xml:space="preserve"> l’élimination de l’orange G</w:t>
                  </w:r>
                  <w:r>
                    <w:rPr>
                      <w:rFonts w:ascii="Times New Roman" w:hAnsi="Times New Roman" w:cs="Times New Roman"/>
                      <w:sz w:val="22"/>
                      <w:szCs w:val="22"/>
                    </w:rPr>
                    <w:t>,</w:t>
                  </w:r>
                  <w:r w:rsidRPr="0036312B">
                    <w:rPr>
                      <w:rFonts w:ascii="Times New Roman" w:hAnsi="Times New Roman" w:cs="Times New Roman"/>
                      <w:sz w:val="22"/>
                      <w:szCs w:val="22"/>
                    </w:rPr>
                    <w:t xml:space="preserve"> sous la lumière solaire</w:t>
                  </w:r>
                  <w:r>
                    <w:rPr>
                      <w:rFonts w:ascii="Times New Roman" w:hAnsi="Times New Roman" w:cs="Times New Roman"/>
                      <w:sz w:val="22"/>
                      <w:szCs w:val="22"/>
                    </w:rPr>
                    <w:t>, ce qui représente un grand atout, au vu de la disponibilité de cette énergie en Algérie</w:t>
                  </w:r>
                  <w:r w:rsidRPr="0036312B">
                    <w:rPr>
                      <w:rFonts w:ascii="Times New Roman" w:hAnsi="Times New Roman" w:cs="Times New Roman"/>
                      <w:sz w:val="22"/>
                      <w:szCs w:val="22"/>
                    </w:rPr>
                    <w:t xml:space="preserve">. L’étude du diagramme énergétique des bandes de conduction et de valence a </w:t>
                  </w:r>
                  <w:r>
                    <w:rPr>
                      <w:rFonts w:ascii="Times New Roman" w:hAnsi="Times New Roman" w:cs="Times New Roman"/>
                      <w:sz w:val="22"/>
                      <w:szCs w:val="22"/>
                    </w:rPr>
                    <w:t xml:space="preserve">montré </w:t>
                  </w:r>
                  <w:r w:rsidRPr="0036312B">
                    <w:rPr>
                      <w:rFonts w:ascii="Times New Roman" w:hAnsi="Times New Roman" w:cs="Times New Roman"/>
                      <w:sz w:val="22"/>
                      <w:szCs w:val="22"/>
                    </w:rPr>
                    <w:t xml:space="preserve">l’implication des radicaux </w:t>
                  </w:r>
                  <m:oMath>
                    <m:sSubSup>
                      <m:sSubSupPr>
                        <m:ctrlPr>
                          <w:rPr>
                            <w:rFonts w:ascii="Cambria Math" w:hAnsi="Cambria Math" w:cs="Times New Roman"/>
                            <w:i/>
                            <w:sz w:val="22"/>
                            <w:szCs w:val="22"/>
                            <w:lang w:val="en-US"/>
                          </w:rPr>
                        </m:ctrlPr>
                      </m:sSubSupPr>
                      <m:e>
                        <m:r>
                          <m:rPr>
                            <m:sty m:val="p"/>
                          </m:rPr>
                          <w:rPr>
                            <w:rFonts w:ascii="Cambria Math" w:hAnsi="Cambria Math" w:cs="Times New Roman"/>
                            <w:sz w:val="22"/>
                            <w:szCs w:val="22"/>
                          </w:rPr>
                          <m:t>O</m:t>
                        </m:r>
                      </m:e>
                      <m:sub>
                        <m:r>
                          <w:rPr>
                            <w:rFonts w:ascii="Cambria Math" w:hAnsi="Cambria Math" w:cs="Times New Roman"/>
                            <w:sz w:val="22"/>
                            <w:szCs w:val="22"/>
                          </w:rPr>
                          <m:t>2</m:t>
                        </m:r>
                      </m:sub>
                      <m:sup>
                        <m:r>
                          <m:rPr>
                            <m:sty m:val="p"/>
                          </m:rPr>
                          <w:rPr>
                            <w:rFonts w:ascii="Cambria Math" w:hAnsi="Cambria Math" w:cs="Times New Roman"/>
                            <w:sz w:val="22"/>
                            <w:szCs w:val="22"/>
                            <w:vertAlign w:val="superscript"/>
                          </w:rPr>
                          <w:sym w:font="Symbol" w:char="F0B7"/>
                        </m:r>
                        <m:r>
                          <m:rPr>
                            <m:sty m:val="p"/>
                          </m:rPr>
                          <w:rPr>
                            <w:rFonts w:ascii="Cambria Math" w:hAnsi="Cambria Math" w:cs="Times New Roman"/>
                            <w:sz w:val="22"/>
                            <w:szCs w:val="22"/>
                            <w:vertAlign w:val="superscript"/>
                          </w:rPr>
                          <m:t>-</m:t>
                        </m:r>
                      </m:sup>
                    </m:sSubSup>
                  </m:oMath>
                  <w:r w:rsidRPr="0036312B">
                    <w:rPr>
                      <w:rFonts w:ascii="Times New Roman" w:hAnsi="Times New Roman" w:cs="Times New Roman"/>
                      <w:sz w:val="22"/>
                      <w:szCs w:val="22"/>
                    </w:rPr>
                    <w:t xml:space="preserve"> dans le processus d’oxydation du polluant organique.</w:t>
                  </w:r>
                  <w:r>
                    <w:rPr>
                      <w:rFonts w:ascii="Times New Roman" w:hAnsi="Times New Roman" w:cs="Times New Roman"/>
                      <w:sz w:val="22"/>
                      <w:szCs w:val="22"/>
                    </w:rPr>
                    <w:t xml:space="preserve"> </w:t>
                  </w:r>
                </w:p>
                <w:p w:rsidR="00473B40" w:rsidRPr="0036312B" w:rsidRDefault="00473B40" w:rsidP="00473B40">
                  <w:pPr>
                    <w:jc w:val="both"/>
                    <w:rPr>
                      <w:rFonts w:ascii="Times New Roman" w:hAnsi="Times New Roman" w:cs="Times New Roman"/>
                      <w:sz w:val="22"/>
                      <w:szCs w:val="22"/>
                    </w:rPr>
                  </w:pPr>
                </w:p>
                <w:p w:rsidR="00473B40" w:rsidRDefault="00473B40" w:rsidP="00473B40">
                  <w:pPr>
                    <w:jc w:val="both"/>
                    <w:rPr>
                      <w:rFonts w:ascii="Times New Roman" w:hAnsi="Times New Roman" w:cs="Times New Roman"/>
                      <w:sz w:val="22"/>
                      <w:szCs w:val="22"/>
                    </w:rPr>
                  </w:pPr>
                  <w:r w:rsidRPr="0036312B">
                    <w:rPr>
                      <w:rFonts w:ascii="Times New Roman" w:hAnsi="Times New Roman" w:cs="Times New Roman"/>
                      <w:sz w:val="22"/>
                      <w:szCs w:val="22"/>
                    </w:rPr>
                    <w:t xml:space="preserve">Le phosphate naturel a donné des résultats satisfaisants en tant qu’adsorbant mais ce sont ses propriétés semi-conductrices qui ont </w:t>
                  </w:r>
                  <w:r>
                    <w:rPr>
                      <w:rFonts w:ascii="Times New Roman" w:hAnsi="Times New Roman" w:cs="Times New Roman"/>
                      <w:sz w:val="22"/>
                      <w:szCs w:val="22"/>
                    </w:rPr>
                    <w:t>permis d’atteindre</w:t>
                  </w:r>
                  <w:r w:rsidRPr="0036312B">
                    <w:rPr>
                      <w:rFonts w:ascii="Times New Roman" w:hAnsi="Times New Roman" w:cs="Times New Roman"/>
                      <w:sz w:val="22"/>
                      <w:szCs w:val="22"/>
                    </w:rPr>
                    <w:t xml:space="preserve"> les meilleurs </w:t>
                  </w:r>
                  <w:r>
                    <w:rPr>
                      <w:rFonts w:ascii="Times New Roman" w:hAnsi="Times New Roman" w:cs="Times New Roman"/>
                      <w:sz w:val="22"/>
                      <w:szCs w:val="22"/>
                    </w:rPr>
                    <w:t>taux d’élimination des polluants</w:t>
                  </w:r>
                  <w:r w:rsidRPr="0036312B">
                    <w:rPr>
                      <w:rFonts w:ascii="Times New Roman" w:hAnsi="Times New Roman" w:cs="Times New Roman"/>
                      <w:sz w:val="22"/>
                      <w:szCs w:val="22"/>
                    </w:rPr>
                    <w:t xml:space="preserve">. Nous l’avons appliqué comme </w:t>
                  </w:r>
                  <w:proofErr w:type="spellStart"/>
                  <w:r w:rsidRPr="0036312B">
                    <w:rPr>
                      <w:rFonts w:ascii="Times New Roman" w:hAnsi="Times New Roman" w:cs="Times New Roman"/>
                      <w:sz w:val="22"/>
                      <w:szCs w:val="22"/>
                    </w:rPr>
                    <w:t>photocatalyseur</w:t>
                  </w:r>
                  <w:proofErr w:type="spellEnd"/>
                  <w:r w:rsidRPr="0036312B">
                    <w:rPr>
                      <w:rFonts w:ascii="Times New Roman" w:hAnsi="Times New Roman" w:cs="Times New Roman"/>
                      <w:sz w:val="22"/>
                      <w:szCs w:val="22"/>
                    </w:rPr>
                    <w:t xml:space="preserve">  pour la dégradation, sous irradiation UV, d’un mélange binaire de colorants cationiques, à savoir le violet de méthyle et la rhodamine B. </w:t>
                  </w:r>
                  <w:r>
                    <w:rPr>
                      <w:rFonts w:ascii="Times New Roman" w:hAnsi="Times New Roman" w:cs="Times New Roman"/>
                      <w:sz w:val="22"/>
                      <w:szCs w:val="22"/>
                    </w:rPr>
                    <w:t>D</w:t>
                  </w:r>
                  <w:r w:rsidRPr="0036312B">
                    <w:rPr>
                      <w:rFonts w:ascii="Times New Roman" w:hAnsi="Times New Roman" w:cs="Times New Roman"/>
                      <w:sz w:val="22"/>
                      <w:szCs w:val="22"/>
                    </w:rPr>
                    <w:t xml:space="preserve">eux types de radicaux oxydants sont mis en jeu : </w:t>
                  </w:r>
                  <m:oMath>
                    <m:sSubSup>
                      <m:sSubSupPr>
                        <m:ctrlPr>
                          <w:rPr>
                            <w:rFonts w:ascii="Cambria Math" w:hAnsi="Cambria Math" w:cs="Times New Roman"/>
                            <w:i/>
                            <w:sz w:val="22"/>
                            <w:szCs w:val="22"/>
                            <w:lang w:val="en-US"/>
                          </w:rPr>
                        </m:ctrlPr>
                      </m:sSubSupPr>
                      <m:e>
                        <m:r>
                          <m:rPr>
                            <m:sty m:val="p"/>
                          </m:rPr>
                          <w:rPr>
                            <w:rFonts w:ascii="Cambria Math" w:hAnsi="Cambria Math" w:cs="Times New Roman"/>
                            <w:sz w:val="22"/>
                            <w:szCs w:val="22"/>
                          </w:rPr>
                          <m:t>O</m:t>
                        </m:r>
                      </m:e>
                      <m:sub>
                        <m:r>
                          <w:rPr>
                            <w:rFonts w:ascii="Cambria Math" w:hAnsi="Cambria Math" w:cs="Times New Roman"/>
                            <w:sz w:val="22"/>
                            <w:szCs w:val="22"/>
                          </w:rPr>
                          <m:t>2</m:t>
                        </m:r>
                      </m:sub>
                      <m:sup>
                        <m:r>
                          <m:rPr>
                            <m:sty m:val="p"/>
                          </m:rPr>
                          <w:rPr>
                            <w:rFonts w:ascii="Cambria Math" w:hAnsi="Cambria Math" w:cs="Times New Roman"/>
                            <w:sz w:val="22"/>
                            <w:szCs w:val="22"/>
                            <w:vertAlign w:val="superscript"/>
                          </w:rPr>
                          <w:sym w:font="Symbol" w:char="F0B7"/>
                        </m:r>
                        <m:r>
                          <m:rPr>
                            <m:sty m:val="p"/>
                          </m:rPr>
                          <w:rPr>
                            <w:rFonts w:ascii="Cambria Math" w:hAnsi="Cambria Math" w:cs="Times New Roman"/>
                            <w:sz w:val="22"/>
                            <w:szCs w:val="22"/>
                            <w:vertAlign w:val="superscript"/>
                          </w:rPr>
                          <m:t>-</m:t>
                        </m:r>
                      </m:sup>
                    </m:sSubSup>
                  </m:oMath>
                  <w:r w:rsidRPr="0036312B">
                    <w:rPr>
                      <w:rFonts w:ascii="Times New Roman" w:hAnsi="Times New Roman" w:cs="Times New Roman"/>
                      <w:sz w:val="22"/>
                      <w:szCs w:val="22"/>
                    </w:rPr>
                    <w:t xml:space="preserve"> et OH</w:t>
                  </w:r>
                  <w:r w:rsidRPr="0036312B">
                    <w:rPr>
                      <w:rFonts w:ascii="Times New Roman" w:hAnsi="Times New Roman" w:cs="Times New Roman"/>
                      <w:sz w:val="22"/>
                      <w:szCs w:val="22"/>
                      <w:vertAlign w:val="superscript"/>
                    </w:rPr>
                    <w:sym w:font="Symbol" w:char="F0B7"/>
                  </w:r>
                  <w:r w:rsidRPr="0036312B">
                    <w:rPr>
                      <w:rFonts w:ascii="Times New Roman" w:hAnsi="Times New Roman" w:cs="Times New Roman"/>
                      <w:sz w:val="22"/>
                      <w:szCs w:val="22"/>
                    </w:rPr>
                    <w:t>.</w:t>
                  </w:r>
                </w:p>
                <w:p w:rsidR="000C6329" w:rsidRPr="0036312B" w:rsidRDefault="000C6329" w:rsidP="00473B40">
                  <w:pPr>
                    <w:jc w:val="both"/>
                    <w:rPr>
                      <w:rFonts w:ascii="Times New Roman" w:hAnsi="Times New Roman" w:cs="Times New Roman"/>
                      <w:sz w:val="22"/>
                      <w:szCs w:val="22"/>
                    </w:rPr>
                  </w:pPr>
                </w:p>
              </w:txbxContent>
            </v:textbox>
          </v:shape>
        </w:pict>
      </w: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r w:rsidRPr="0091104C">
        <w:rPr>
          <w:rFonts w:ascii="Times New Roman" w:hAnsi="Times New Roman" w:cs="Times New Roman"/>
          <w:b/>
          <w:bCs/>
          <w:sz w:val="22"/>
          <w:szCs w:val="22"/>
        </w:rPr>
        <w:t xml:space="preserve"> </w:t>
      </w: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Pr="0091104C" w:rsidRDefault="00473B40" w:rsidP="00473B40">
      <w:pPr>
        <w:ind w:firstLine="708"/>
        <w:jc w:val="both"/>
        <w:rPr>
          <w:rFonts w:ascii="Times New Roman" w:hAnsi="Times New Roman" w:cs="Times New Roman"/>
          <w:b/>
          <w:bCs/>
          <w:sz w:val="22"/>
          <w:szCs w:val="22"/>
        </w:rPr>
      </w:pPr>
    </w:p>
    <w:p w:rsidR="00473B40" w:rsidRDefault="00473B40" w:rsidP="00473B40">
      <w:pPr>
        <w:ind w:firstLine="708"/>
        <w:jc w:val="both"/>
        <w:rPr>
          <w:rFonts w:ascii="Times New Roman" w:hAnsi="Times New Roman" w:cs="Times New Roman"/>
          <w:b/>
          <w:bCs/>
          <w:sz w:val="22"/>
          <w:szCs w:val="22"/>
        </w:rPr>
      </w:pPr>
    </w:p>
    <w:p w:rsidR="00473B40" w:rsidRDefault="00473B40" w:rsidP="00473B40">
      <w:pPr>
        <w:ind w:firstLine="708"/>
        <w:jc w:val="both"/>
        <w:rPr>
          <w:rFonts w:ascii="Times New Roman" w:hAnsi="Times New Roman" w:cs="Times New Roman"/>
          <w:b/>
          <w:bCs/>
          <w:sz w:val="22"/>
          <w:szCs w:val="22"/>
        </w:rPr>
      </w:pPr>
    </w:p>
    <w:p w:rsidR="00473B40" w:rsidRDefault="00473B40" w:rsidP="00473B40">
      <w:pPr>
        <w:ind w:firstLine="708"/>
        <w:jc w:val="both"/>
        <w:rPr>
          <w:rFonts w:ascii="Times New Roman" w:hAnsi="Times New Roman" w:cs="Times New Roman"/>
          <w:b/>
          <w:bCs/>
          <w:sz w:val="22"/>
          <w:szCs w:val="22"/>
        </w:rPr>
      </w:pPr>
    </w:p>
    <w:p w:rsidR="00473B40" w:rsidRDefault="00473B40" w:rsidP="00473B40">
      <w:pPr>
        <w:ind w:firstLine="708"/>
        <w:jc w:val="both"/>
        <w:rPr>
          <w:rFonts w:ascii="Times New Roman" w:hAnsi="Times New Roman" w:cs="Times New Roman"/>
          <w:b/>
          <w:bCs/>
          <w:sz w:val="22"/>
          <w:szCs w:val="22"/>
        </w:rPr>
      </w:pPr>
    </w:p>
    <w:p w:rsidR="00473B40" w:rsidRDefault="00473B40" w:rsidP="00473B40">
      <w:pPr>
        <w:ind w:firstLine="708"/>
        <w:jc w:val="both"/>
        <w:rPr>
          <w:rFonts w:ascii="Times New Roman" w:hAnsi="Times New Roman" w:cs="Times New Roman"/>
          <w:b/>
          <w:bCs/>
          <w:sz w:val="22"/>
          <w:szCs w:val="22"/>
        </w:rPr>
      </w:pPr>
    </w:p>
    <w:p w:rsidR="00473B40" w:rsidRDefault="00473B40" w:rsidP="00473B40">
      <w:pPr>
        <w:ind w:firstLine="708"/>
        <w:jc w:val="both"/>
        <w:rPr>
          <w:rFonts w:ascii="Times New Roman" w:hAnsi="Times New Roman" w:cs="Times New Roman"/>
          <w:b/>
          <w:bCs/>
          <w:sz w:val="22"/>
          <w:szCs w:val="22"/>
        </w:rPr>
      </w:pPr>
    </w:p>
    <w:p w:rsidR="00473B40" w:rsidRDefault="00473B40" w:rsidP="00473B40">
      <w:pPr>
        <w:ind w:firstLine="708"/>
        <w:jc w:val="both"/>
        <w:rPr>
          <w:rFonts w:ascii="Times New Roman" w:hAnsi="Times New Roman" w:cs="Times New Roman"/>
          <w:b/>
          <w:bCs/>
          <w:sz w:val="20"/>
          <w:szCs w:val="20"/>
        </w:rPr>
      </w:pPr>
    </w:p>
    <w:p w:rsidR="00473B40" w:rsidRDefault="00473B40" w:rsidP="00473B40">
      <w:pPr>
        <w:ind w:firstLine="708"/>
        <w:jc w:val="both"/>
        <w:rPr>
          <w:rFonts w:ascii="Times New Roman" w:hAnsi="Times New Roman" w:cs="Times New Roman"/>
          <w:b/>
          <w:bCs/>
          <w:sz w:val="20"/>
          <w:szCs w:val="20"/>
        </w:rPr>
      </w:pPr>
    </w:p>
    <w:p w:rsidR="00473B40" w:rsidRDefault="00473B40" w:rsidP="00473B40">
      <w:pPr>
        <w:ind w:firstLine="708"/>
        <w:jc w:val="both"/>
        <w:rPr>
          <w:rFonts w:ascii="Times New Roman" w:hAnsi="Times New Roman" w:cs="Times New Roman"/>
          <w:b/>
          <w:bCs/>
          <w:sz w:val="20"/>
          <w:szCs w:val="20"/>
        </w:rPr>
      </w:pPr>
    </w:p>
    <w:p w:rsidR="00473B40" w:rsidRDefault="00473B40" w:rsidP="00473B40">
      <w:pPr>
        <w:ind w:firstLine="708"/>
        <w:jc w:val="both"/>
        <w:rPr>
          <w:rFonts w:ascii="Times New Roman" w:hAnsi="Times New Roman" w:cs="Times New Roman"/>
          <w:b/>
          <w:bCs/>
          <w:sz w:val="20"/>
          <w:szCs w:val="20"/>
        </w:rPr>
      </w:pPr>
    </w:p>
    <w:p w:rsidR="00473B40" w:rsidRPr="002D77AF" w:rsidRDefault="00473B40" w:rsidP="00473B40">
      <w:pPr>
        <w:ind w:firstLine="708"/>
        <w:jc w:val="both"/>
        <w:rPr>
          <w:rFonts w:ascii="Times New Roman" w:hAnsi="Times New Roman" w:cs="Times New Roman"/>
          <w:b/>
          <w:bCs/>
          <w:sz w:val="20"/>
          <w:szCs w:val="20"/>
        </w:rPr>
      </w:pPr>
    </w:p>
    <w:p w:rsidR="00473B40" w:rsidRDefault="00473B40" w:rsidP="00473B40">
      <w:pPr>
        <w:tabs>
          <w:tab w:val="left" w:pos="7300"/>
        </w:tabs>
        <w:rPr>
          <w:rFonts w:ascii="Times New Roman" w:hAnsi="Times New Roman" w:cs="Times New Roman"/>
          <w:sz w:val="20"/>
          <w:szCs w:val="20"/>
        </w:rPr>
      </w:pPr>
    </w:p>
    <w:p w:rsidR="00473B40" w:rsidRDefault="00473B40" w:rsidP="00473B40">
      <w:pPr>
        <w:tabs>
          <w:tab w:val="left" w:pos="7300"/>
        </w:tabs>
        <w:rPr>
          <w:rFonts w:ascii="Times New Roman" w:hAnsi="Times New Roman" w:cs="Times New Roman"/>
          <w:sz w:val="20"/>
          <w:szCs w:val="20"/>
        </w:rPr>
      </w:pPr>
    </w:p>
    <w:p w:rsidR="00473B40" w:rsidRDefault="00473B40" w:rsidP="00473B40">
      <w:pPr>
        <w:tabs>
          <w:tab w:val="left" w:pos="7300"/>
        </w:tabs>
        <w:ind w:left="-709"/>
        <w:rPr>
          <w:rFonts w:ascii="Times New Roman" w:hAnsi="Times New Roman" w:cs="Times New Roman"/>
          <w:sz w:val="20"/>
          <w:szCs w:val="20"/>
        </w:rPr>
      </w:pPr>
    </w:p>
    <w:p w:rsidR="00473B40" w:rsidRDefault="00473B40" w:rsidP="00473B40">
      <w:pPr>
        <w:tabs>
          <w:tab w:val="left" w:pos="7300"/>
        </w:tabs>
        <w:ind w:left="-709"/>
        <w:rPr>
          <w:rFonts w:ascii="Times New Roman" w:hAnsi="Times New Roman" w:cs="Times New Roman"/>
          <w:sz w:val="20"/>
          <w:szCs w:val="20"/>
        </w:rPr>
      </w:pPr>
    </w:p>
    <w:p w:rsidR="00473B40" w:rsidRDefault="00473B40" w:rsidP="00473B40">
      <w:pPr>
        <w:tabs>
          <w:tab w:val="left" w:pos="7300"/>
        </w:tabs>
        <w:ind w:left="-709"/>
        <w:rPr>
          <w:rFonts w:ascii="Times New Roman" w:hAnsi="Times New Roman" w:cs="Times New Roman"/>
          <w:sz w:val="20"/>
          <w:szCs w:val="20"/>
        </w:rPr>
      </w:pPr>
    </w:p>
    <w:p w:rsidR="005C63F3" w:rsidRDefault="005C63F3" w:rsidP="00473B40">
      <w:pPr>
        <w:tabs>
          <w:tab w:val="left" w:pos="7300"/>
        </w:tabs>
        <w:ind w:left="-709"/>
        <w:rPr>
          <w:rFonts w:ascii="Times New Roman" w:hAnsi="Times New Roman" w:cs="Times New Roman"/>
          <w:sz w:val="20"/>
          <w:szCs w:val="20"/>
        </w:rPr>
      </w:pPr>
    </w:p>
    <w:p w:rsidR="005C63F3" w:rsidRDefault="005C63F3" w:rsidP="00473B40">
      <w:pPr>
        <w:tabs>
          <w:tab w:val="left" w:pos="7300"/>
        </w:tabs>
        <w:ind w:left="-709"/>
        <w:rPr>
          <w:rFonts w:ascii="Times New Roman" w:hAnsi="Times New Roman" w:cs="Times New Roman"/>
          <w:sz w:val="20"/>
          <w:szCs w:val="20"/>
        </w:rPr>
      </w:pPr>
    </w:p>
    <w:p w:rsidR="000F5C60" w:rsidRDefault="000F5C60"/>
    <w:sectPr w:rsidR="000F5C60" w:rsidSect="00473B40">
      <w:pgSz w:w="11906" w:h="16838"/>
      <w:pgMar w:top="567" w:right="1440" w:bottom="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rsids>
    <w:rsidRoot w:val="00473B40"/>
    <w:rsid w:val="00096324"/>
    <w:rsid w:val="000C6329"/>
    <w:rsid w:val="000F5C60"/>
    <w:rsid w:val="00163211"/>
    <w:rsid w:val="002F0E82"/>
    <w:rsid w:val="003D0678"/>
    <w:rsid w:val="00473B40"/>
    <w:rsid w:val="004B47D6"/>
    <w:rsid w:val="005221EE"/>
    <w:rsid w:val="00587663"/>
    <w:rsid w:val="005C63F3"/>
    <w:rsid w:val="008474DB"/>
    <w:rsid w:val="00BE2C80"/>
    <w:rsid w:val="00D06527"/>
    <w:rsid w:val="00DD2746"/>
    <w:rsid w:val="00E11422"/>
    <w:rsid w:val="00E30CAB"/>
    <w:rsid w:val="00F156CC"/>
    <w:rsid w:val="00F4078D"/>
    <w:rsid w:val="00F72958"/>
    <w:rsid w:val="00FF258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3B40"/>
    <w:pPr>
      <w:spacing w:after="0" w:line="240" w:lineRule="auto"/>
    </w:pPr>
    <w:rPr>
      <w:rFonts w:ascii="Times" w:eastAsia="Times New Roman" w:hAnsi="Times" w:cs="Times"/>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Normaljustifi">
    <w:name w:val="Normal+justifié"/>
    <w:basedOn w:val="Normal"/>
    <w:rsid w:val="00473B40"/>
    <w:rPr>
      <w:rFonts w:ascii="Times New Roman" w:hAnsi="Times New Roman" w:cs="Times New Roman"/>
    </w:rPr>
  </w:style>
  <w:style w:type="character" w:customStyle="1" w:styleId="apple-style-span">
    <w:name w:val="apple-style-span"/>
    <w:rsid w:val="00473B40"/>
  </w:style>
  <w:style w:type="paragraph" w:styleId="Textedebulles">
    <w:name w:val="Balloon Text"/>
    <w:basedOn w:val="Normal"/>
    <w:link w:val="TextedebullesCar"/>
    <w:uiPriority w:val="99"/>
    <w:semiHidden/>
    <w:unhideWhenUsed/>
    <w:rsid w:val="00473B40"/>
    <w:rPr>
      <w:rFonts w:ascii="Tahoma" w:hAnsi="Tahoma" w:cs="Tahoma"/>
      <w:sz w:val="16"/>
      <w:szCs w:val="16"/>
    </w:rPr>
  </w:style>
  <w:style w:type="character" w:customStyle="1" w:styleId="TextedebullesCar">
    <w:name w:val="Texte de bulles Car"/>
    <w:basedOn w:val="Policepardfaut"/>
    <w:link w:val="Textedebulles"/>
    <w:uiPriority w:val="99"/>
    <w:semiHidden/>
    <w:rsid w:val="00473B40"/>
    <w:rPr>
      <w:rFonts w:ascii="Tahoma" w:eastAsia="Times New Roman" w:hAnsi="Tahoma" w:cs="Tahoma"/>
      <w:sz w:val="16"/>
      <w:szCs w:val="16"/>
      <w:lang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TotalTime>
  <Pages>1</Pages>
  <Words>56</Words>
  <Characters>313</Characters>
  <Application>Microsoft Office Word</Application>
  <DocSecurity>0</DocSecurity>
  <Lines>2</Lines>
  <Paragraphs>1</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368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Dream Works</dc:creator>
  <cp:lastModifiedBy>naima</cp:lastModifiedBy>
  <cp:revision>6</cp:revision>
  <dcterms:created xsi:type="dcterms:W3CDTF">2017-05-07T12:58:00Z</dcterms:created>
  <dcterms:modified xsi:type="dcterms:W3CDTF">2017-10-05T12:37:00Z</dcterms:modified>
</cp:coreProperties>
</file>