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4177F" w:rsidRDefault="0074177F" w:rsidP="0074177F">
      <w:pPr>
        <w:rPr>
          <w:lang w:bidi="ar-DZ"/>
        </w:rPr>
      </w:pPr>
      <w:r>
        <w:rPr>
          <w:lang w:bidi="ar-DZ"/>
        </w:rPr>
        <w:t>L'athérosclérose est la principale cause des décès dans les pays occidentalisés et apparaît en nette progression dans les pays en voie de développement. Plusieurs études cliniques et épidémiologiques ont montré que l'hypothyroïdie est associée à cette maladie et pourrait donc représenter un facteur de risque</w:t>
      </w:r>
      <w:r>
        <w:rPr>
          <w:rFonts w:cs="Arial"/>
          <w:rtl/>
          <w:lang w:bidi="ar-DZ"/>
        </w:rPr>
        <w:t>.</w:t>
      </w:r>
    </w:p>
    <w:p w:rsidR="0074177F" w:rsidRDefault="0074177F" w:rsidP="0074177F">
      <w:pPr>
        <w:rPr>
          <w:lang w:bidi="ar-DZ"/>
        </w:rPr>
      </w:pPr>
      <w:r>
        <w:rPr>
          <w:lang w:bidi="ar-DZ"/>
        </w:rPr>
        <w:t>Nous avons étudié l'impact d'une hypothyroïdie expérimentale sur la biochimie plasmatique et sur l'histologie de l'aorte  du Rat des sables Psammomys obesus, excellent modèle d'étude des maladies cardio-vasculaires</w:t>
      </w:r>
      <w:r>
        <w:rPr>
          <w:rFonts w:cs="Arial"/>
          <w:rtl/>
          <w:lang w:bidi="ar-DZ"/>
        </w:rPr>
        <w:t>.</w:t>
      </w:r>
    </w:p>
    <w:p w:rsidR="0074177F" w:rsidRDefault="0074177F" w:rsidP="0074177F">
      <w:pPr>
        <w:rPr>
          <w:lang w:bidi="ar-DZ"/>
        </w:rPr>
      </w:pPr>
      <w:r>
        <w:rPr>
          <w:lang w:bidi="ar-DZ"/>
        </w:rPr>
        <w:t xml:space="preserve">Les Rats des sables sont répartis en </w:t>
      </w:r>
      <w:r>
        <w:rPr>
          <w:rFonts w:cs="Arial"/>
          <w:rtl/>
          <w:lang w:bidi="ar-DZ"/>
        </w:rPr>
        <w:t xml:space="preserve">2 </w:t>
      </w:r>
      <w:r>
        <w:rPr>
          <w:lang w:bidi="ar-DZ"/>
        </w:rPr>
        <w:t>lots,  un lot témoin nourri à l'aide de plantes halophiles (riche en eau et sels minéraux) et un lot traité recevant le même régime alimentaire associé à une administration de carbimazole par voie orale (</w:t>
      </w:r>
      <w:r>
        <w:rPr>
          <w:rFonts w:cs="Arial"/>
          <w:rtl/>
          <w:lang w:bidi="ar-DZ"/>
        </w:rPr>
        <w:t>0,03%</w:t>
      </w:r>
      <w:r>
        <w:rPr>
          <w:lang w:bidi="ar-DZ"/>
        </w:rPr>
        <w:t xml:space="preserve">). L'ensemble des animaux a fait l'objet pendant </w:t>
      </w:r>
      <w:r>
        <w:rPr>
          <w:rFonts w:cs="Arial"/>
          <w:rtl/>
          <w:lang w:bidi="ar-DZ"/>
        </w:rPr>
        <w:t xml:space="preserve">6 </w:t>
      </w:r>
      <w:r>
        <w:rPr>
          <w:lang w:bidi="ar-DZ"/>
        </w:rPr>
        <w:t>mois, d'un suivi de l'évolution pondérale, de prélèvements sanguins en vue du dosage de certains paramètres biochimiques plasmatiques (glucose, triglycérides, cholestérol, protéines, homocystéine) et de l'électrophorèse des  lipoprotéines</w:t>
      </w:r>
      <w:r>
        <w:rPr>
          <w:rFonts w:cs="Arial"/>
          <w:rtl/>
          <w:lang w:bidi="ar-DZ"/>
        </w:rPr>
        <w:t>.</w:t>
      </w:r>
    </w:p>
    <w:p w:rsidR="0074177F" w:rsidRDefault="0074177F" w:rsidP="0074177F">
      <w:pPr>
        <w:rPr>
          <w:lang w:bidi="ar-DZ"/>
        </w:rPr>
      </w:pPr>
      <w:r>
        <w:rPr>
          <w:lang w:bidi="ar-DZ"/>
        </w:rPr>
        <w:t>Les techniques histologiques réalisées en fin d'expérimentation nous ont permis de déterminer l'effet  du carbimazole sur la paroi aortique de Psammomys obesus</w:t>
      </w:r>
      <w:r>
        <w:rPr>
          <w:rFonts w:cs="Arial"/>
          <w:rtl/>
          <w:lang w:bidi="ar-DZ"/>
        </w:rPr>
        <w:t>.</w:t>
      </w:r>
    </w:p>
    <w:p w:rsidR="0074177F" w:rsidRDefault="0074177F" w:rsidP="0074177F">
      <w:pPr>
        <w:rPr>
          <w:lang w:bidi="ar-DZ"/>
        </w:rPr>
      </w:pPr>
      <w:r>
        <w:rPr>
          <w:lang w:bidi="ar-DZ"/>
        </w:rPr>
        <w:t>Nous avons analysé également l'effet du glucose à forte concentration (</w:t>
      </w:r>
      <w:r>
        <w:rPr>
          <w:rFonts w:cs="Arial"/>
          <w:rtl/>
          <w:lang w:bidi="ar-DZ"/>
        </w:rPr>
        <w:t xml:space="preserve">15 </w:t>
      </w:r>
      <w:r>
        <w:rPr>
          <w:lang w:bidi="ar-DZ"/>
        </w:rPr>
        <w:t>mM) sur des fibroblastes adventitiels aortiques en culture à un passage précoce (P</w:t>
      </w:r>
      <w:r>
        <w:rPr>
          <w:rFonts w:cs="Arial"/>
          <w:rtl/>
          <w:lang w:bidi="ar-DZ"/>
        </w:rPr>
        <w:t>6</w:t>
      </w:r>
      <w:r>
        <w:rPr>
          <w:lang w:bidi="ar-DZ"/>
        </w:rPr>
        <w:t>). Cette étude in vitro a concerné la prolifération cellulaire ainsi que quelques paramètres cellulaires et nucléaires de ces cellules</w:t>
      </w:r>
      <w:r>
        <w:rPr>
          <w:rFonts w:cs="Arial"/>
          <w:rtl/>
          <w:lang w:bidi="ar-DZ"/>
        </w:rPr>
        <w:t xml:space="preserve">. </w:t>
      </w:r>
    </w:p>
    <w:p w:rsidR="0074177F" w:rsidRDefault="0074177F" w:rsidP="0074177F">
      <w:pPr>
        <w:rPr>
          <w:lang w:bidi="ar-DZ"/>
        </w:rPr>
      </w:pPr>
      <w:r>
        <w:rPr>
          <w:lang w:bidi="ar-DZ"/>
        </w:rPr>
        <w:t xml:space="preserve">Chez les rats soumis au carbimazole pendant </w:t>
      </w:r>
      <w:r>
        <w:rPr>
          <w:rFonts w:cs="Arial"/>
          <w:rtl/>
          <w:lang w:bidi="ar-DZ"/>
        </w:rPr>
        <w:t xml:space="preserve">6 </w:t>
      </w:r>
      <w:r>
        <w:rPr>
          <w:lang w:bidi="ar-DZ"/>
        </w:rPr>
        <w:t>mois, nos résultats mettent en évidence</w:t>
      </w:r>
      <w:r>
        <w:rPr>
          <w:rFonts w:cs="Arial"/>
          <w:rtl/>
          <w:lang w:bidi="ar-DZ"/>
        </w:rPr>
        <w:t xml:space="preserve"> :</w:t>
      </w:r>
    </w:p>
    <w:p w:rsidR="0074177F" w:rsidRDefault="0074177F" w:rsidP="0074177F">
      <w:pPr>
        <w:rPr>
          <w:lang w:bidi="ar-DZ"/>
        </w:rPr>
      </w:pPr>
      <w:r>
        <w:rPr>
          <w:rFonts w:cs="Arial"/>
          <w:rtl/>
          <w:lang w:bidi="ar-DZ"/>
        </w:rPr>
        <w:t>-</w:t>
      </w:r>
      <w:r>
        <w:rPr>
          <w:lang w:bidi="ar-DZ"/>
        </w:rPr>
        <w:t>une différence non significative de l'évolution du poids corporel, de la glycémie et de la protéinémie</w:t>
      </w:r>
      <w:r>
        <w:rPr>
          <w:rFonts w:cs="Arial"/>
          <w:rtl/>
          <w:lang w:bidi="ar-DZ"/>
        </w:rPr>
        <w:t>,</w:t>
      </w:r>
    </w:p>
    <w:p w:rsidR="0074177F" w:rsidRDefault="0074177F" w:rsidP="0074177F">
      <w:pPr>
        <w:rPr>
          <w:lang w:bidi="ar-DZ"/>
        </w:rPr>
      </w:pPr>
      <w:r>
        <w:rPr>
          <w:rFonts w:cs="Arial"/>
          <w:rtl/>
          <w:lang w:bidi="ar-DZ"/>
        </w:rPr>
        <w:t>-</w:t>
      </w:r>
      <w:r>
        <w:rPr>
          <w:lang w:bidi="ar-DZ"/>
        </w:rPr>
        <w:t xml:space="preserve">l'installation d'une hyperhomocystéinémie modérée (augmentation de </w:t>
      </w:r>
      <w:r>
        <w:rPr>
          <w:rFonts w:cs="Arial"/>
          <w:rtl/>
          <w:lang w:bidi="ar-DZ"/>
        </w:rPr>
        <w:t>71%),</w:t>
      </w:r>
    </w:p>
    <w:p w:rsidR="0074177F" w:rsidRDefault="0074177F" w:rsidP="0074177F">
      <w:pPr>
        <w:rPr>
          <w:lang w:bidi="ar-DZ"/>
        </w:rPr>
      </w:pPr>
      <w:r>
        <w:rPr>
          <w:rFonts w:cs="Arial"/>
          <w:rtl/>
          <w:lang w:bidi="ar-DZ"/>
        </w:rPr>
        <w:t>-</w:t>
      </w:r>
      <w:r>
        <w:rPr>
          <w:lang w:bidi="ar-DZ"/>
        </w:rPr>
        <w:t>une perturbation des lipides plasmatiques caractérisée par une augmentation des triglycérides (</w:t>
      </w:r>
      <w:r>
        <w:rPr>
          <w:rFonts w:cs="Arial"/>
          <w:rtl/>
          <w:lang w:bidi="ar-DZ"/>
        </w:rPr>
        <w:t>146%</w:t>
      </w:r>
      <w:r>
        <w:rPr>
          <w:lang w:bidi="ar-DZ"/>
        </w:rPr>
        <w:t>) et du cholestérol (</w:t>
      </w:r>
      <w:r>
        <w:rPr>
          <w:rFonts w:cs="Arial"/>
          <w:rtl/>
          <w:lang w:bidi="ar-DZ"/>
        </w:rPr>
        <w:t>98%),</w:t>
      </w:r>
    </w:p>
    <w:p w:rsidR="0074177F" w:rsidRDefault="0074177F" w:rsidP="0074177F">
      <w:pPr>
        <w:rPr>
          <w:lang w:bidi="ar-DZ"/>
        </w:rPr>
      </w:pPr>
      <w:r>
        <w:rPr>
          <w:lang w:bidi="ar-DZ"/>
        </w:rPr>
        <w:t>L'analyse des lipidogrammes réalisés indique une diminution des HDL (</w:t>
      </w:r>
      <w:r>
        <w:rPr>
          <w:rFonts w:cs="Arial"/>
          <w:rtl/>
          <w:lang w:bidi="ar-DZ"/>
        </w:rPr>
        <w:t>32,9%</w:t>
      </w:r>
      <w:r>
        <w:rPr>
          <w:lang w:bidi="ar-DZ"/>
        </w:rPr>
        <w:t>)  associée à une augmentation des LDL-VLDL (</w:t>
      </w:r>
      <w:r>
        <w:rPr>
          <w:rFonts w:cs="Arial"/>
          <w:rtl/>
          <w:lang w:bidi="ar-DZ"/>
        </w:rPr>
        <w:t>15,86%</w:t>
      </w:r>
      <w:r>
        <w:rPr>
          <w:lang w:bidi="ar-DZ"/>
        </w:rPr>
        <w:t xml:space="preserve">). Par ailleurs, nous avons noté l'apparition de la lipoprotéine (a) après </w:t>
      </w:r>
      <w:r>
        <w:rPr>
          <w:rFonts w:cs="Arial"/>
          <w:rtl/>
          <w:lang w:bidi="ar-DZ"/>
        </w:rPr>
        <w:t xml:space="preserve">3 </w:t>
      </w:r>
      <w:r>
        <w:rPr>
          <w:lang w:bidi="ar-DZ"/>
        </w:rPr>
        <w:t>mois de traitement au carbimazole</w:t>
      </w:r>
      <w:r>
        <w:rPr>
          <w:rFonts w:cs="Arial"/>
          <w:rtl/>
          <w:lang w:bidi="ar-DZ"/>
        </w:rPr>
        <w:t>.</w:t>
      </w:r>
    </w:p>
    <w:p w:rsidR="0074177F" w:rsidRDefault="0074177F" w:rsidP="0074177F">
      <w:pPr>
        <w:rPr>
          <w:lang w:bidi="ar-DZ"/>
        </w:rPr>
      </w:pPr>
      <w:r>
        <w:rPr>
          <w:lang w:bidi="ar-DZ"/>
        </w:rPr>
        <w:t>La paroi vasculaire des Psammomys obesus hypothyroïdiens est le siège de nombreuses altérations focalisées représentées par des agrégations sanguines luminales (microthrombus), une hypertrophie de l'endothélium et du sous endothélium, des ruptures, des amincissements et des désorganisations des lames élastiques, une accumulation de collagènes dans les espaces interlamellaires, un changement d'orientation des CMLs, une prolifération et une migration associée à une modulation phénotypique de ces cellules, ainsi qu'un épaississement de l'adventice associé à une accumulation de collagènes et à un changement phénotypique des fibroblastes adventitiels</w:t>
      </w:r>
      <w:r>
        <w:rPr>
          <w:rFonts w:cs="Arial"/>
          <w:rtl/>
          <w:lang w:bidi="ar-DZ"/>
        </w:rPr>
        <w:t xml:space="preserve">. </w:t>
      </w:r>
    </w:p>
    <w:p w:rsidR="0074177F" w:rsidRDefault="0074177F" w:rsidP="0074177F">
      <w:pPr>
        <w:rPr>
          <w:lang w:bidi="ar-DZ"/>
        </w:rPr>
      </w:pPr>
      <w:r>
        <w:rPr>
          <w:lang w:bidi="ar-DZ"/>
        </w:rPr>
        <w:t xml:space="preserve">L'étude in vitro met en évidence une augmentation significative  de la prolifération des fibroblastes adventitiels incubés en présence d'un milieu enrichi en glucose ainsi qu'une </w:t>
      </w:r>
      <w:r>
        <w:rPr>
          <w:lang w:bidi="ar-DZ"/>
        </w:rPr>
        <w:lastRenderedPageBreak/>
        <w:t>augmentation de leur diamètre, de leurs grands et petits axes nucléaires et du nombre de nucléoles</w:t>
      </w:r>
      <w:r>
        <w:rPr>
          <w:rFonts w:cs="Arial"/>
          <w:rtl/>
          <w:lang w:bidi="ar-DZ"/>
        </w:rPr>
        <w:t>.</w:t>
      </w:r>
    </w:p>
    <w:p w:rsidR="0074177F" w:rsidRDefault="0074177F" w:rsidP="0074177F">
      <w:pPr>
        <w:rPr>
          <w:rtl/>
          <w:lang w:bidi="ar-DZ"/>
        </w:rPr>
      </w:pPr>
    </w:p>
    <w:p w:rsidR="0074177F" w:rsidRDefault="0074177F" w:rsidP="0074177F">
      <w:pPr>
        <w:rPr>
          <w:rtl/>
          <w:lang w:bidi="ar-DZ"/>
        </w:rPr>
      </w:pPr>
    </w:p>
    <w:p w:rsidR="006B5DFE" w:rsidRPr="006365DB" w:rsidRDefault="006B5DFE" w:rsidP="00450BB6">
      <w:pPr>
        <w:rPr>
          <w:rFonts w:hint="cs"/>
          <w:rtl/>
          <w:lang w:bidi="ar-DZ"/>
        </w:rPr>
      </w:pPr>
    </w:p>
    <w:sectPr w:rsidR="006B5DFE" w:rsidRPr="006365DB"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3C6C86"/>
    <w:rsid w:val="000402CC"/>
    <w:rsid w:val="000954FC"/>
    <w:rsid w:val="000A7B10"/>
    <w:rsid w:val="000C1865"/>
    <w:rsid w:val="000E1E03"/>
    <w:rsid w:val="001A5759"/>
    <w:rsid w:val="001D1F2E"/>
    <w:rsid w:val="001D3C66"/>
    <w:rsid w:val="001D6384"/>
    <w:rsid w:val="00215DC0"/>
    <w:rsid w:val="00221271"/>
    <w:rsid w:val="00295978"/>
    <w:rsid w:val="002D08E7"/>
    <w:rsid w:val="00332C20"/>
    <w:rsid w:val="00354189"/>
    <w:rsid w:val="0035521B"/>
    <w:rsid w:val="00357749"/>
    <w:rsid w:val="003C6C86"/>
    <w:rsid w:val="004248B9"/>
    <w:rsid w:val="00450BB6"/>
    <w:rsid w:val="0046696B"/>
    <w:rsid w:val="00494871"/>
    <w:rsid w:val="004B642F"/>
    <w:rsid w:val="0054519C"/>
    <w:rsid w:val="005E4E78"/>
    <w:rsid w:val="006365DB"/>
    <w:rsid w:val="006B5DFE"/>
    <w:rsid w:val="006D5754"/>
    <w:rsid w:val="00703B19"/>
    <w:rsid w:val="0074177F"/>
    <w:rsid w:val="00777BA7"/>
    <w:rsid w:val="007E1844"/>
    <w:rsid w:val="0085184C"/>
    <w:rsid w:val="008C2F14"/>
    <w:rsid w:val="008D1245"/>
    <w:rsid w:val="008D78EC"/>
    <w:rsid w:val="00957F9B"/>
    <w:rsid w:val="00A51D66"/>
    <w:rsid w:val="00AD2FEF"/>
    <w:rsid w:val="00AD5F09"/>
    <w:rsid w:val="00BC2619"/>
    <w:rsid w:val="00C155DE"/>
    <w:rsid w:val="00C63E2A"/>
    <w:rsid w:val="00C90259"/>
    <w:rsid w:val="00CC210C"/>
    <w:rsid w:val="00D04AF7"/>
    <w:rsid w:val="00D5208C"/>
    <w:rsid w:val="00D7731C"/>
    <w:rsid w:val="00DB63D6"/>
    <w:rsid w:val="00DE0BA2"/>
    <w:rsid w:val="00E14DE8"/>
    <w:rsid w:val="00EB02FF"/>
    <w:rsid w:val="00EB2385"/>
    <w:rsid w:val="00EE3082"/>
    <w:rsid w:val="00F01FD7"/>
    <w:rsid w:val="00F146AC"/>
    <w:rsid w:val="00F95083"/>
    <w:rsid w:val="00FD77AC"/>
    <w:rsid w:val="00FD7B5F"/>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07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B5DFE"/>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1</Pages>
  <Words>461</Words>
  <Characters>2629</Characters>
  <Application>Microsoft Office Word</Application>
  <DocSecurity>0</DocSecurity>
  <Lines>21</Lines>
  <Paragraphs>6</Paragraphs>
  <ScaleCrop>false</ScaleCrop>
  <Company/>
  <LinksUpToDate>false</LinksUpToDate>
  <CharactersWithSpaces>3084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58</cp:revision>
  <dcterms:created xsi:type="dcterms:W3CDTF">2015-04-30T12:23:00Z</dcterms:created>
  <dcterms:modified xsi:type="dcterms:W3CDTF">2015-05-13T10:08:00Z</dcterms:modified>
</cp:coreProperties>
</file>