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2A76" w:rsidRDefault="00D22347" w:rsidP="00F22A76">
      <w:r w:rsidRPr="00F22A76">
        <w:t xml:space="preserve"> </w:t>
      </w:r>
      <w:r w:rsidR="00F22A76">
        <w:t xml:space="preserve">La </w:t>
      </w:r>
      <w:proofErr w:type="spellStart"/>
      <w:r w:rsidR="00F22A76">
        <w:t>dystrophine</w:t>
      </w:r>
      <w:proofErr w:type="spellEnd"/>
      <w:r w:rsidR="00F22A76">
        <w:t xml:space="preserve">, protéine de 427 </w:t>
      </w:r>
      <w:proofErr w:type="spellStart"/>
      <w:r w:rsidR="00F22A76">
        <w:t>kDa</w:t>
      </w:r>
      <w:proofErr w:type="spellEnd"/>
      <w:r w:rsidR="00F22A76">
        <w:t xml:space="preserve"> est le produit long issu du gène DMD (Duchenne </w:t>
      </w:r>
      <w:proofErr w:type="spellStart"/>
      <w:r w:rsidR="00F22A76">
        <w:t>Muscular</w:t>
      </w:r>
      <w:proofErr w:type="spellEnd"/>
      <w:r w:rsidR="00F22A76">
        <w:t xml:space="preserve"> </w:t>
      </w:r>
      <w:proofErr w:type="spellStart"/>
      <w:r w:rsidR="00F22A76">
        <w:t>Dystrophy</w:t>
      </w:r>
      <w:proofErr w:type="spellEnd"/>
      <w:r w:rsidR="00F22A76">
        <w:t xml:space="preserve">). C'est une protéine du </w:t>
      </w:r>
      <w:proofErr w:type="spellStart"/>
      <w:r w:rsidR="00F22A76">
        <w:t>sarcolemme</w:t>
      </w:r>
      <w:proofErr w:type="spellEnd"/>
      <w:r w:rsidR="00F22A76">
        <w:t xml:space="preserve">, exprimée dans les cellules musculaires lisses, striées et cardiaques, ainsi que dans le SNC, et dans le SNP.  </w:t>
      </w:r>
    </w:p>
    <w:p w:rsidR="00F22A76" w:rsidRDefault="00F22A76" w:rsidP="00F22A76">
      <w:r>
        <w:t xml:space="preserve">La  </w:t>
      </w:r>
      <w:proofErr w:type="spellStart"/>
      <w:r>
        <w:t>dystrophine</w:t>
      </w:r>
      <w:proofErr w:type="spellEnd"/>
      <w:r>
        <w:t xml:space="preserve"> semble jouer un rôle mécanique et structural important dans le muscle squelettique en reliant, le cytosquelette d'actine sous-</w:t>
      </w:r>
      <w:proofErr w:type="spellStart"/>
      <w:r>
        <w:t>sarcolémmique</w:t>
      </w:r>
      <w:proofErr w:type="spellEnd"/>
      <w:r>
        <w:t xml:space="preserve"> au complexe </w:t>
      </w:r>
      <w:proofErr w:type="spellStart"/>
      <w:r>
        <w:t>DAPs</w:t>
      </w:r>
      <w:proofErr w:type="spellEnd"/>
      <w:r>
        <w:t xml:space="preserve"> (</w:t>
      </w:r>
      <w:proofErr w:type="spellStart"/>
      <w:r>
        <w:t>Dystrophin</w:t>
      </w:r>
      <w:proofErr w:type="spellEnd"/>
      <w:r>
        <w:t xml:space="preserve"> </w:t>
      </w:r>
      <w:proofErr w:type="spellStart"/>
      <w:r>
        <w:t>associated</w:t>
      </w:r>
      <w:proofErr w:type="spellEnd"/>
      <w:r>
        <w:t xml:space="preserve"> </w:t>
      </w:r>
      <w:proofErr w:type="spellStart"/>
      <w:r>
        <w:t>proteins</w:t>
      </w:r>
      <w:proofErr w:type="spellEnd"/>
      <w:r>
        <w:t>). Ce dernier est composé de protéines cytoplasmiques et de glycoprotéines transmembranaires (</w:t>
      </w:r>
      <w:proofErr w:type="spellStart"/>
      <w:r>
        <w:t>dystroglycanes</w:t>
      </w:r>
      <w:proofErr w:type="spellEnd"/>
      <w:r>
        <w:t xml:space="preserve">, </w:t>
      </w:r>
      <w:proofErr w:type="spellStart"/>
      <w:r>
        <w:t>sarcoglycanes</w:t>
      </w:r>
      <w:proofErr w:type="spellEnd"/>
      <w:r>
        <w:t>-</w:t>
      </w:r>
      <w:proofErr w:type="spellStart"/>
      <w:r>
        <w:t>sarcospane</w:t>
      </w:r>
      <w:proofErr w:type="spellEnd"/>
      <w:r>
        <w:t xml:space="preserve">) qui lient les protéines de la matrice extracellulaire. Le complexe </w:t>
      </w:r>
      <w:proofErr w:type="spellStart"/>
      <w:r>
        <w:t>Dystrophine</w:t>
      </w:r>
      <w:proofErr w:type="spellEnd"/>
      <w:r>
        <w:t xml:space="preserve">- </w:t>
      </w:r>
      <w:proofErr w:type="spellStart"/>
      <w:r>
        <w:t>DAPs</w:t>
      </w:r>
      <w:proofErr w:type="spellEnd"/>
      <w:r>
        <w:t xml:space="preserve"> jouerait ainsi, un rôle essentiel dans la stabilité et l'intégrité des fibres musculaires au cours des cycles contraction/relaxation. De plus, ces protéines permettent l'ancrage et l'agrégation de canaux ou de récepteurs à des sites spécifiques de la membrane des fibres musculaires. </w:t>
      </w:r>
    </w:p>
    <w:p w:rsidR="00F22A76" w:rsidRDefault="00F22A76" w:rsidP="00F22A76">
      <w:r>
        <w:t xml:space="preserve">Par ailleurs, la découverte de troubles cognitifs et comportementaux chez les patients DMD a conduit à la mise en évidence de l'expression de tous les produits du gène DMD dans le SNC. En effet, les </w:t>
      </w:r>
      <w:proofErr w:type="spellStart"/>
      <w:r>
        <w:t>dystrophines</w:t>
      </w:r>
      <w:proofErr w:type="spellEnd"/>
      <w:r>
        <w:t xml:space="preserve">, les </w:t>
      </w:r>
      <w:proofErr w:type="spellStart"/>
      <w:r>
        <w:t>utrophines</w:t>
      </w:r>
      <w:proofErr w:type="spellEnd"/>
      <w:r>
        <w:t xml:space="preserve"> (protéines homologues à la </w:t>
      </w:r>
      <w:proofErr w:type="spellStart"/>
      <w:r>
        <w:t>dystrophine</w:t>
      </w:r>
      <w:proofErr w:type="spellEnd"/>
      <w:r>
        <w:t xml:space="preserve">) et le </w:t>
      </w:r>
      <w:proofErr w:type="spellStart"/>
      <w:r>
        <w:t>dystroglycane</w:t>
      </w:r>
      <w:proofErr w:type="spellEnd"/>
      <w:r>
        <w:t xml:space="preserve"> (protéine associée à la </w:t>
      </w:r>
      <w:proofErr w:type="spellStart"/>
      <w:r>
        <w:t>dystrophine</w:t>
      </w:r>
      <w:proofErr w:type="spellEnd"/>
      <w:r>
        <w:t xml:space="preserve">) ont été mis en évidence au niveau des constituants cellulaires et subcellulaires de l'axe </w:t>
      </w:r>
      <w:proofErr w:type="spellStart"/>
      <w:r>
        <w:t>hypothalamo</w:t>
      </w:r>
      <w:proofErr w:type="spellEnd"/>
      <w:r>
        <w:t>-</w:t>
      </w:r>
      <w:proofErr w:type="spellStart"/>
      <w:r>
        <w:t>neurohypophysaire</w:t>
      </w:r>
      <w:proofErr w:type="spellEnd"/>
      <w:r>
        <w:t xml:space="preserve"> (HNH) (</w:t>
      </w:r>
      <w:proofErr w:type="spellStart"/>
      <w:r>
        <w:t>Dorbani</w:t>
      </w:r>
      <w:proofErr w:type="spellEnd"/>
      <w:r>
        <w:t xml:space="preserve"> </w:t>
      </w:r>
      <w:proofErr w:type="spellStart"/>
      <w:r>
        <w:t>Mamine</w:t>
      </w:r>
      <w:proofErr w:type="spellEnd"/>
      <w:r>
        <w:t xml:space="preserve"> et </w:t>
      </w:r>
      <w:proofErr w:type="gramStart"/>
      <w:r>
        <w:t>al.,</w:t>
      </w:r>
      <w:proofErr w:type="gramEnd"/>
      <w:r>
        <w:t xml:space="preserve"> 1998). Ce dernier, est un système </w:t>
      </w:r>
      <w:proofErr w:type="spellStart"/>
      <w:r>
        <w:t>neurosécrétoire</w:t>
      </w:r>
      <w:proofErr w:type="spellEnd"/>
      <w:r>
        <w:t xml:space="preserve"> spécialisé jouant un rôle important dans l'homéostasie du fluide corporel. Il est l'exemple d'une région extrêmement sensible aux changements physiologiques et hormonaux. Ainsi, la perturbation de la distribution des </w:t>
      </w:r>
      <w:proofErr w:type="spellStart"/>
      <w:r>
        <w:t>dystrophines</w:t>
      </w:r>
      <w:proofErr w:type="spellEnd"/>
      <w:r>
        <w:t xml:space="preserve">, des </w:t>
      </w:r>
      <w:proofErr w:type="spellStart"/>
      <w:r>
        <w:t>utrophines</w:t>
      </w:r>
      <w:proofErr w:type="spellEnd"/>
      <w:r>
        <w:t xml:space="preserve"> et du </w:t>
      </w:r>
      <w:proofErr w:type="spellStart"/>
      <w:r>
        <w:t>dystroglycane</w:t>
      </w:r>
      <w:proofErr w:type="spellEnd"/>
      <w:r>
        <w:t xml:space="preserve"> au niveau de l'axe HNH suite à une déshydratation, a suggéré un rôle probable de ces protéines dans la physiologie de cet axe (</w:t>
      </w:r>
      <w:proofErr w:type="spellStart"/>
      <w:r>
        <w:t>Mamine</w:t>
      </w:r>
      <w:proofErr w:type="spellEnd"/>
      <w:r>
        <w:t>-</w:t>
      </w:r>
      <w:proofErr w:type="spellStart"/>
      <w:r>
        <w:t>Dorbani</w:t>
      </w:r>
      <w:proofErr w:type="spellEnd"/>
      <w:r>
        <w:t xml:space="preserve">, 2001). </w:t>
      </w:r>
    </w:p>
    <w:p w:rsidR="00C57802" w:rsidRPr="00F22A76" w:rsidRDefault="00F22A76" w:rsidP="00F22A76">
      <w:r>
        <w:t xml:space="preserve">Dans le but de reconstituer le complexe des protéines associées à la </w:t>
      </w:r>
      <w:proofErr w:type="spellStart"/>
      <w:r>
        <w:t>dystrophine</w:t>
      </w:r>
      <w:proofErr w:type="spellEnd"/>
      <w:r>
        <w:t xml:space="preserve"> et/ou l'</w:t>
      </w:r>
      <w:proofErr w:type="spellStart"/>
      <w:r>
        <w:t>utrophine</w:t>
      </w:r>
      <w:proofErr w:type="spellEnd"/>
      <w:r>
        <w:t xml:space="preserve">, en plus du </w:t>
      </w:r>
      <w:proofErr w:type="spellStart"/>
      <w:r>
        <w:t>dystroglycane</w:t>
      </w:r>
      <w:proofErr w:type="spellEnd"/>
      <w:r>
        <w:t xml:space="preserve">, nous avons étudié la localisation et la distribution des </w:t>
      </w:r>
      <w:proofErr w:type="spellStart"/>
      <w:r>
        <w:t>dystrophines</w:t>
      </w:r>
      <w:proofErr w:type="spellEnd"/>
      <w:r>
        <w:t xml:space="preserve">, des </w:t>
      </w:r>
      <w:proofErr w:type="spellStart"/>
      <w:r>
        <w:t>utrophines</w:t>
      </w:r>
      <w:proofErr w:type="spellEnd"/>
      <w:r>
        <w:t xml:space="preserve"> et deux protéines </w:t>
      </w:r>
      <w:proofErr w:type="spellStart"/>
      <w:r>
        <w:t>DAPs</w:t>
      </w:r>
      <w:proofErr w:type="spellEnd"/>
      <w:r>
        <w:t xml:space="preserve"> membranaires (</w:t>
      </w:r>
      <w:proofErr w:type="spellStart"/>
      <w:r>
        <w:t>Dystroglycane</w:t>
      </w:r>
      <w:proofErr w:type="spellEnd"/>
      <w:r>
        <w:t xml:space="preserve"> et </w:t>
      </w:r>
      <w:proofErr w:type="spellStart"/>
      <w:r>
        <w:t>sarcoglycane</w:t>
      </w:r>
      <w:proofErr w:type="spellEnd"/>
      <w:r>
        <w:t xml:space="preserve">) au niveau de l'axe HNH. La prospection a touché les noyaux </w:t>
      </w:r>
      <w:proofErr w:type="spellStart"/>
      <w:r>
        <w:t>supraoptiques</w:t>
      </w:r>
      <w:proofErr w:type="spellEnd"/>
      <w:r>
        <w:t xml:space="preserve"> (NSO), l'éminence médiane (EM) et la </w:t>
      </w:r>
      <w:proofErr w:type="spellStart"/>
      <w:r>
        <w:t>neurohypophyse</w:t>
      </w:r>
      <w:proofErr w:type="spellEnd"/>
      <w:r>
        <w:t xml:space="preserve"> (NH) de rats ayant subit l'effet d'une hémorragie de 10% du volume sanguin total, suivie de différents temps de récupération post-hémorragique (10, 20, 30 et 40min).</w:t>
      </w:r>
    </w:p>
    <w:sectPr w:rsidR="00C57802" w:rsidRPr="00F22A76" w:rsidSect="00C5780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01CAF"/>
    <w:rsid w:val="001B08EA"/>
    <w:rsid w:val="001C775A"/>
    <w:rsid w:val="00596C38"/>
    <w:rsid w:val="00601CAF"/>
    <w:rsid w:val="00AB7586"/>
    <w:rsid w:val="00B23559"/>
    <w:rsid w:val="00C4027A"/>
    <w:rsid w:val="00C57802"/>
    <w:rsid w:val="00D22347"/>
    <w:rsid w:val="00F22A76"/>
    <w:rsid w:val="00F31F04"/>
    <w:rsid w:val="00F753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780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380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9</cp:revision>
  <dcterms:created xsi:type="dcterms:W3CDTF">2015-03-23T08:26:00Z</dcterms:created>
  <dcterms:modified xsi:type="dcterms:W3CDTF">2015-03-23T10:10:00Z</dcterms:modified>
</cp:coreProperties>
</file>