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5A7A" w:rsidRPr="006A5847" w:rsidRDefault="00795A7A" w:rsidP="00795A7A">
      <w:pPr>
        <w:spacing w:after="0" w:line="240" w:lineRule="auto"/>
        <w:jc w:val="center"/>
        <w:rPr>
          <w:rFonts w:ascii="Times New Roman" w:hAnsi="Times New Roman" w:cs="Times New Roman"/>
          <w:sz w:val="24"/>
          <w:szCs w:val="24"/>
        </w:rPr>
      </w:pPr>
      <w:r w:rsidRPr="006A5847">
        <w:rPr>
          <w:rFonts w:ascii="Times New Roman" w:hAnsi="Times New Roman" w:cs="Times New Roman"/>
          <w:sz w:val="24"/>
          <w:szCs w:val="24"/>
        </w:rPr>
        <w:t xml:space="preserve">Université des Sciences et de la Technologie Houari </w:t>
      </w:r>
      <w:proofErr w:type="spellStart"/>
      <w:r w:rsidRPr="006A5847">
        <w:rPr>
          <w:rFonts w:ascii="Times New Roman" w:hAnsi="Times New Roman" w:cs="Times New Roman"/>
          <w:sz w:val="24"/>
          <w:szCs w:val="24"/>
        </w:rPr>
        <w:t>Boumédiène</w:t>
      </w:r>
      <w:proofErr w:type="spellEnd"/>
    </w:p>
    <w:p w:rsidR="00795A7A" w:rsidRPr="006A5847" w:rsidRDefault="00795A7A" w:rsidP="00795A7A">
      <w:pPr>
        <w:spacing w:after="0" w:line="240" w:lineRule="auto"/>
        <w:jc w:val="center"/>
        <w:rPr>
          <w:rFonts w:ascii="Times New Roman" w:hAnsi="Times New Roman" w:cs="Times New Roman"/>
          <w:sz w:val="24"/>
          <w:szCs w:val="24"/>
        </w:rPr>
      </w:pPr>
      <w:r w:rsidRPr="006A5847">
        <w:rPr>
          <w:rFonts w:ascii="Times New Roman" w:hAnsi="Times New Roman" w:cs="Times New Roman"/>
          <w:sz w:val="24"/>
          <w:szCs w:val="24"/>
        </w:rPr>
        <w:t>Faculté de Physique</w:t>
      </w:r>
    </w:p>
    <w:p w:rsidR="00795A7A" w:rsidRPr="006A5847" w:rsidRDefault="00795A7A" w:rsidP="00795A7A">
      <w:pPr>
        <w:spacing w:after="0" w:line="240" w:lineRule="auto"/>
        <w:jc w:val="center"/>
        <w:rPr>
          <w:rFonts w:ascii="Times New Roman" w:hAnsi="Times New Roman" w:cs="Times New Roman"/>
          <w:bCs/>
          <w:iCs/>
          <w:sz w:val="24"/>
          <w:szCs w:val="24"/>
        </w:rPr>
      </w:pPr>
      <w:r w:rsidRPr="006A5847">
        <w:rPr>
          <w:rFonts w:ascii="Times New Roman" w:hAnsi="Times New Roman" w:cs="Times New Roman"/>
          <w:bCs/>
          <w:iCs/>
          <w:sz w:val="24"/>
          <w:szCs w:val="24"/>
        </w:rPr>
        <w:t>Département de Physique des Rayonnements</w:t>
      </w:r>
    </w:p>
    <w:p w:rsidR="00795A7A" w:rsidRDefault="00795A7A" w:rsidP="00795A7A">
      <w:pPr>
        <w:spacing w:after="0" w:line="240" w:lineRule="auto"/>
        <w:jc w:val="center"/>
        <w:rPr>
          <w:rFonts w:ascii="Times New Roman" w:hAnsi="Times New Roman" w:cs="Times New Roman"/>
          <w:b/>
          <w:bCs/>
          <w:sz w:val="24"/>
          <w:szCs w:val="24"/>
        </w:rPr>
      </w:pPr>
    </w:p>
    <w:p w:rsidR="00795A7A" w:rsidRPr="006A5847" w:rsidRDefault="00795A7A" w:rsidP="00795A7A">
      <w:pPr>
        <w:spacing w:after="0" w:line="240" w:lineRule="auto"/>
        <w:jc w:val="center"/>
        <w:rPr>
          <w:rFonts w:ascii="Times New Roman" w:hAnsi="Times New Roman" w:cs="Times New Roman"/>
          <w:b/>
          <w:bCs/>
          <w:sz w:val="24"/>
          <w:szCs w:val="24"/>
        </w:rPr>
      </w:pPr>
      <w:r w:rsidRPr="006A5847">
        <w:rPr>
          <w:rFonts w:ascii="Times New Roman" w:hAnsi="Times New Roman" w:cs="Times New Roman"/>
          <w:b/>
          <w:bCs/>
          <w:sz w:val="24"/>
          <w:szCs w:val="24"/>
        </w:rPr>
        <w:t>Mémoire de Magister</w:t>
      </w:r>
    </w:p>
    <w:p w:rsidR="00795A7A" w:rsidRPr="006A5847" w:rsidRDefault="00795A7A" w:rsidP="00795A7A">
      <w:pPr>
        <w:spacing w:after="0" w:line="240" w:lineRule="auto"/>
        <w:jc w:val="center"/>
        <w:rPr>
          <w:rFonts w:ascii="Times New Roman" w:hAnsi="Times New Roman" w:cs="Times New Roman"/>
          <w:b/>
          <w:bCs/>
          <w:sz w:val="24"/>
          <w:szCs w:val="24"/>
        </w:rPr>
      </w:pPr>
      <w:r w:rsidRPr="006A5847">
        <w:rPr>
          <w:rFonts w:ascii="Times New Roman" w:hAnsi="Times New Roman" w:cs="Times New Roman"/>
          <w:bCs/>
          <w:sz w:val="24"/>
          <w:szCs w:val="24"/>
        </w:rPr>
        <w:t>Présentée par</w:t>
      </w:r>
      <w:r w:rsidRPr="006A5847">
        <w:rPr>
          <w:rFonts w:ascii="Times New Roman" w:hAnsi="Times New Roman" w:cs="Times New Roman"/>
          <w:b/>
          <w:bCs/>
          <w:sz w:val="24"/>
          <w:szCs w:val="24"/>
        </w:rPr>
        <w:t xml:space="preserve"> </w:t>
      </w:r>
    </w:p>
    <w:p w:rsidR="00795A7A" w:rsidRPr="006A5847" w:rsidRDefault="00795A7A" w:rsidP="00795A7A">
      <w:pPr>
        <w:spacing w:after="0" w:line="240" w:lineRule="auto"/>
        <w:jc w:val="center"/>
        <w:rPr>
          <w:rFonts w:ascii="Times New Roman" w:hAnsi="Times New Roman" w:cs="Times New Roman"/>
          <w:b/>
          <w:bCs/>
          <w:sz w:val="24"/>
          <w:szCs w:val="24"/>
        </w:rPr>
      </w:pPr>
      <w:r>
        <w:rPr>
          <w:rFonts w:ascii="Times New Roman" w:hAnsi="Times New Roman" w:cs="Times New Roman"/>
          <w:b/>
          <w:bCs/>
          <w:caps/>
          <w:sz w:val="24"/>
          <w:szCs w:val="24"/>
        </w:rPr>
        <w:t>Abdelhai benali</w:t>
      </w:r>
      <w:r w:rsidRPr="006A5847">
        <w:rPr>
          <w:rFonts w:ascii="Times New Roman" w:hAnsi="Times New Roman" w:cs="Times New Roman"/>
          <w:b/>
          <w:bCs/>
          <w:iCs/>
          <w:sz w:val="24"/>
          <w:szCs w:val="24"/>
        </w:rPr>
        <w:t xml:space="preserve"> (*)</w:t>
      </w:r>
    </w:p>
    <w:p w:rsidR="00795A7A" w:rsidRPr="006A5847" w:rsidRDefault="00795A7A" w:rsidP="00795A7A">
      <w:pPr>
        <w:spacing w:after="0" w:line="240" w:lineRule="auto"/>
        <w:jc w:val="center"/>
        <w:rPr>
          <w:rFonts w:ascii="Times New Roman" w:hAnsi="Times New Roman" w:cs="Times New Roman"/>
          <w:bCs/>
          <w:sz w:val="24"/>
          <w:szCs w:val="24"/>
        </w:rPr>
      </w:pPr>
      <w:r w:rsidRPr="006A5847">
        <w:rPr>
          <w:rFonts w:ascii="Times New Roman" w:hAnsi="Times New Roman" w:cs="Times New Roman"/>
          <w:bCs/>
          <w:sz w:val="24"/>
          <w:szCs w:val="24"/>
        </w:rPr>
        <w:t>Sur le thème</w:t>
      </w:r>
    </w:p>
    <w:p w:rsidR="00795A7A" w:rsidRDefault="00795A7A" w:rsidP="00795A7A">
      <w:pPr>
        <w:tabs>
          <w:tab w:val="left" w:pos="7987"/>
        </w:tabs>
        <w:ind w:left="540"/>
        <w:jc w:val="center"/>
        <w:rPr>
          <w:b/>
          <w:sz w:val="28"/>
          <w:szCs w:val="28"/>
        </w:rPr>
      </w:pPr>
      <w:r w:rsidRPr="00BB5E3B">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_x0000_s1026" type="#_x0000_t202" style="position:absolute;left:0;text-align:left;margin-left:-30.8pt;margin-top:22.35pt;width:515.25pt;height:545.85pt;z-index:251660288">
            <v:textbox style="mso-next-textbox:#_x0000_s1026">
              <w:txbxContent>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r w:rsidRPr="008C3408">
                    <w:rPr>
                      <w:rFonts w:ascii="Times New Roman" w:hAnsi="Times New Roman" w:cs="Times New Roman"/>
                      <w:b/>
                      <w:sz w:val="24"/>
                      <w:szCs w:val="24"/>
                    </w:rPr>
                    <w:t>Résumé :</w:t>
                  </w:r>
                  <w:r w:rsidRPr="008C3408">
                    <w:rPr>
                      <w:rFonts w:ascii="Times New Roman" w:hAnsi="Times New Roman" w:cs="Times New Roman"/>
                      <w:sz w:val="24"/>
                      <w:szCs w:val="24"/>
                    </w:rPr>
                    <w:t xml:space="preserve"> </w:t>
                  </w:r>
                </w:p>
                <w:p w:rsidR="00795A7A" w:rsidRPr="008C3408" w:rsidRDefault="00795A7A" w:rsidP="00795A7A">
                  <w:pPr>
                    <w:spacing w:after="0" w:line="240" w:lineRule="auto"/>
                    <w:jc w:val="both"/>
                    <w:rPr>
                      <w:rFonts w:ascii="Times New Roman" w:hAnsi="Times New Roman" w:cs="Times New Roman"/>
                      <w:sz w:val="24"/>
                      <w:szCs w:val="24"/>
                    </w:rPr>
                  </w:pPr>
                  <w:r w:rsidRPr="008C3408">
                    <w:rPr>
                      <w:rFonts w:ascii="Times New Roman" w:hAnsi="Times New Roman" w:cs="Times New Roman"/>
                      <w:sz w:val="24"/>
                      <w:szCs w:val="24"/>
                    </w:rPr>
                    <w:t xml:space="preserve">Les récents développements en scanner </w:t>
                  </w:r>
                  <w:proofErr w:type="spellStart"/>
                  <w:r w:rsidRPr="008C3408">
                    <w:rPr>
                      <w:rFonts w:ascii="Times New Roman" w:hAnsi="Times New Roman" w:cs="Times New Roman"/>
                      <w:sz w:val="24"/>
                      <w:szCs w:val="24"/>
                    </w:rPr>
                    <w:t>multidétecteurs</w:t>
                  </w:r>
                  <w:proofErr w:type="spellEnd"/>
                  <w:r w:rsidRPr="008C3408">
                    <w:rPr>
                      <w:rFonts w:ascii="Times New Roman" w:hAnsi="Times New Roman" w:cs="Times New Roman"/>
                      <w:sz w:val="24"/>
                      <w:szCs w:val="24"/>
                    </w:rPr>
                    <w:t xml:space="preserve"> reposent le problème de la place de l’imagerie non invasive des artères coronaires. En effet, les progrès en terme de résolution spatiale mais surtout temporelle réalisés avec cette nouvelle génération de scanner (16 barrettes et plus) permettent l’acquisition des coronaires avec une qualité suffisante dans la plupart des cas. </w:t>
                  </w:r>
                </w:p>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r w:rsidRPr="008C3408">
                    <w:rPr>
                      <w:rFonts w:ascii="Times New Roman" w:hAnsi="Times New Roman" w:cs="Times New Roman"/>
                      <w:sz w:val="24"/>
                      <w:szCs w:val="24"/>
                    </w:rPr>
                    <w:t xml:space="preserve">La TDM ou scanner cardiaque, technique d’imagerie non invasive utilisant les rayons X, est réalisée par un scanner </w:t>
                  </w:r>
                  <w:proofErr w:type="spellStart"/>
                  <w:r w:rsidRPr="008C3408">
                    <w:rPr>
                      <w:rFonts w:ascii="Times New Roman" w:hAnsi="Times New Roman" w:cs="Times New Roman"/>
                      <w:sz w:val="24"/>
                      <w:szCs w:val="24"/>
                    </w:rPr>
                    <w:t>multi-barrettes</w:t>
                  </w:r>
                  <w:proofErr w:type="spellEnd"/>
                  <w:r w:rsidRPr="008C3408">
                    <w:rPr>
                      <w:rFonts w:ascii="Times New Roman" w:hAnsi="Times New Roman" w:cs="Times New Roman"/>
                      <w:sz w:val="24"/>
                      <w:szCs w:val="24"/>
                    </w:rPr>
                    <w:t xml:space="preserve"> autorisant notamment la réalisation en post-traitement de reconstruction 3D surfaciques ou volumiques. La TDM cardiaque permet la visualisation des artères coronaires (</w:t>
                  </w:r>
                  <w:proofErr w:type="spellStart"/>
                  <w:r w:rsidRPr="008C3408">
                    <w:rPr>
                      <w:rFonts w:ascii="Times New Roman" w:hAnsi="Times New Roman" w:cs="Times New Roman"/>
                      <w:sz w:val="24"/>
                      <w:szCs w:val="24"/>
                    </w:rPr>
                    <w:t>coro</w:t>
                  </w:r>
                  <w:proofErr w:type="spellEnd"/>
                  <w:r w:rsidRPr="008C3408">
                    <w:rPr>
                      <w:rFonts w:ascii="Times New Roman" w:hAnsi="Times New Roman" w:cs="Times New Roman"/>
                      <w:sz w:val="24"/>
                      <w:szCs w:val="24"/>
                    </w:rPr>
                    <w:t xml:space="preserve">-TDM). L’examen est généralement réalisé avec injection de produit de contraste iodé chez des patients avec un rythme </w:t>
                  </w:r>
                  <w:r>
                    <w:rPr>
                      <w:rFonts w:ascii="Times New Roman" w:hAnsi="Times New Roman" w:cs="Times New Roman"/>
                      <w:sz w:val="24"/>
                      <w:szCs w:val="24"/>
                    </w:rPr>
                    <w:t>cardiaque</w:t>
                  </w:r>
                  <w:r w:rsidRPr="008C3408">
                    <w:rPr>
                      <w:rFonts w:ascii="Times New Roman" w:hAnsi="Times New Roman" w:cs="Times New Roman"/>
                      <w:sz w:val="24"/>
                      <w:szCs w:val="24"/>
                    </w:rPr>
                    <w:t xml:space="preserve">. La fréquence cardiaque ne doit pas être trop élevée afin d’obtenir des images de qualité. Elle peut également visualiser les calcifications des artères coronaires et de déterminer le score calcique coronaire, paramètre permettant de quantifier objectivement l’étendue des calcifications coronaires. </w:t>
                  </w:r>
                </w:p>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r w:rsidRPr="008C3408">
                    <w:rPr>
                      <w:rFonts w:ascii="Times New Roman" w:hAnsi="Times New Roman" w:cs="Times New Roman"/>
                      <w:sz w:val="24"/>
                      <w:szCs w:val="24"/>
                    </w:rPr>
                    <w:t xml:space="preserve">En effet, plusieurs apports technologiques concourent au développement de cette exploration : une augmentation de la résolution temporelle grâce à l’augmentation de la vitesse de rotation; l’apparition de modalités de reconstruction segmentée, une réduction des artéfacts grâce à des reconstructions à posteriori permettant de choisir la meilleure fenêtre temporelle et l’automatisation des tâches réduisant la durée du post traitement. </w:t>
                  </w:r>
                </w:p>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r w:rsidRPr="008C3408">
                    <w:rPr>
                      <w:rFonts w:ascii="Times New Roman" w:hAnsi="Times New Roman" w:cs="Times New Roman"/>
                      <w:sz w:val="24"/>
                      <w:szCs w:val="24"/>
                    </w:rPr>
                    <w:t xml:space="preserve">Le but de ce travail est une étude dosimétrique autour des examens </w:t>
                  </w:r>
                  <w:proofErr w:type="spellStart"/>
                  <w:r w:rsidRPr="008C3408">
                    <w:rPr>
                      <w:rFonts w:ascii="Times New Roman" w:hAnsi="Times New Roman" w:cs="Times New Roman"/>
                      <w:sz w:val="24"/>
                      <w:szCs w:val="24"/>
                    </w:rPr>
                    <w:t>scanographiques</w:t>
                  </w:r>
                  <w:proofErr w:type="spellEnd"/>
                  <w:r w:rsidRPr="008C3408">
                    <w:rPr>
                      <w:rFonts w:ascii="Times New Roman" w:hAnsi="Times New Roman" w:cs="Times New Roman"/>
                      <w:sz w:val="24"/>
                      <w:szCs w:val="24"/>
                    </w:rPr>
                    <w:t xml:space="preserve"> cardiaques.  L’étude entreprise a concerné un nombre important de patients ayant subi des examens de CT cardiaque. L’installation utilisée est un scanner </w:t>
                  </w:r>
                  <w:proofErr w:type="spellStart"/>
                  <w:r w:rsidRPr="008C3408">
                    <w:rPr>
                      <w:rFonts w:ascii="Times New Roman" w:hAnsi="Times New Roman" w:cs="Times New Roman"/>
                      <w:sz w:val="24"/>
                      <w:szCs w:val="24"/>
                    </w:rPr>
                    <w:t>multi-coupes</w:t>
                  </w:r>
                  <w:proofErr w:type="spellEnd"/>
                  <w:r w:rsidRPr="008C3408">
                    <w:rPr>
                      <w:rFonts w:ascii="Times New Roman" w:hAnsi="Times New Roman" w:cs="Times New Roman"/>
                      <w:sz w:val="24"/>
                      <w:szCs w:val="24"/>
                    </w:rPr>
                    <w:t xml:space="preserve"> de 320 barrettes du CNIM du CHU </w:t>
                  </w:r>
                  <w:proofErr w:type="spellStart"/>
                  <w:r w:rsidRPr="008C3408">
                    <w:rPr>
                      <w:rFonts w:ascii="Times New Roman" w:hAnsi="Times New Roman" w:cs="Times New Roman"/>
                      <w:sz w:val="24"/>
                      <w:szCs w:val="24"/>
                    </w:rPr>
                    <w:t>Bab</w:t>
                  </w:r>
                  <w:proofErr w:type="spellEnd"/>
                  <w:r w:rsidRPr="008C3408">
                    <w:rPr>
                      <w:rFonts w:ascii="Times New Roman" w:hAnsi="Times New Roman" w:cs="Times New Roman"/>
                      <w:sz w:val="24"/>
                      <w:szCs w:val="24"/>
                    </w:rPr>
                    <w:t xml:space="preserve"> el Oued. Plusieurs examens CT cardiaques ont été pris en considération. </w:t>
                  </w:r>
                  <w:r w:rsidRPr="008C3408">
                    <w:rPr>
                      <w:rFonts w:asciiTheme="majorBidi" w:hAnsiTheme="majorBidi" w:cstheme="majorBidi"/>
                      <w:sz w:val="24"/>
                      <w:szCs w:val="24"/>
                    </w:rPr>
                    <w:t>L’étude constitue la première initiative dans le domaine et le premier travail entrepris sur le scanner ‘Aquilion O</w:t>
                  </w:r>
                  <w:r w:rsidRPr="008C3408">
                    <w:rPr>
                      <w:rFonts w:asciiTheme="majorBidi" w:hAnsiTheme="majorBidi" w:cstheme="majorBidi"/>
                      <w:caps/>
                      <w:sz w:val="24"/>
                      <w:szCs w:val="24"/>
                    </w:rPr>
                    <w:t>ne</w:t>
                  </w:r>
                  <w:r w:rsidRPr="008C3408">
                    <w:rPr>
                      <w:rFonts w:asciiTheme="majorBidi" w:hAnsiTheme="majorBidi" w:cstheme="majorBidi"/>
                      <w:sz w:val="24"/>
                      <w:szCs w:val="24"/>
                    </w:rPr>
                    <w:t>’ de 320 coupes. Il rentre dans le cadre de l’optimisation de la dose au patient dans les procédures de CT cardiaque.</w:t>
                  </w:r>
                </w:p>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r w:rsidRPr="008C3408">
                    <w:rPr>
                      <w:rFonts w:ascii="Times New Roman" w:hAnsi="Times New Roman" w:cs="Times New Roman"/>
                      <w:sz w:val="24"/>
                      <w:szCs w:val="24"/>
                    </w:rPr>
                    <w:t xml:space="preserve">Les paramètres dosimétriques tel que le </w:t>
                  </w:r>
                  <w:proofErr w:type="spellStart"/>
                  <w:r w:rsidRPr="008C3408">
                    <w:rPr>
                      <w:rFonts w:ascii="Times New Roman" w:hAnsi="Times New Roman" w:cs="Times New Roman"/>
                      <w:sz w:val="24"/>
                      <w:szCs w:val="24"/>
                    </w:rPr>
                    <w:t>CTDI</w:t>
                  </w:r>
                  <w:r w:rsidRPr="008C3408">
                    <w:rPr>
                      <w:rFonts w:ascii="Times New Roman" w:hAnsi="Times New Roman" w:cs="Times New Roman"/>
                      <w:sz w:val="24"/>
                      <w:szCs w:val="24"/>
                      <w:vertAlign w:val="subscript"/>
                    </w:rPr>
                    <w:t>vol</w:t>
                  </w:r>
                  <w:proofErr w:type="spellEnd"/>
                  <w:r w:rsidRPr="008C3408">
                    <w:rPr>
                      <w:rFonts w:ascii="Times New Roman" w:hAnsi="Times New Roman" w:cs="Times New Roman"/>
                      <w:sz w:val="24"/>
                      <w:szCs w:val="24"/>
                    </w:rPr>
                    <w:t>, le Produit Dose Longueur, PDL, et la dose efficace, ont été investigués. Avant cette étape, une caractérisation de l’installation a été entreprise moyennant des fantômes dosimétriques et une chambre d’ionisation dédiée ‘chambre crayon’.</w:t>
                  </w:r>
                </w:p>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r w:rsidRPr="008C3408">
                    <w:rPr>
                      <w:rFonts w:ascii="Times New Roman" w:hAnsi="Times New Roman" w:cs="Times New Roman"/>
                      <w:sz w:val="24"/>
                      <w:szCs w:val="24"/>
                    </w:rPr>
                    <w:t>Les résultats sont comparés à d’autres travaux similaires existant dans la littérature. Des moyens de réduction de la dose ont été proposés (réduction de la fréquence cardiaque par les bétabloquants, tensions, charge,…</w:t>
                  </w:r>
                  <w:proofErr w:type="gramStart"/>
                  <w:r w:rsidRPr="008C3408">
                    <w:rPr>
                      <w:rFonts w:ascii="Times New Roman" w:hAnsi="Times New Roman" w:cs="Times New Roman"/>
                      <w:sz w:val="24"/>
                      <w:szCs w:val="24"/>
                    </w:rPr>
                    <w:t>) .</w:t>
                  </w:r>
                  <w:proofErr w:type="gramEnd"/>
                </w:p>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r w:rsidRPr="008C3408">
                    <w:rPr>
                      <w:rFonts w:ascii="Times New Roman" w:hAnsi="Times New Roman" w:cs="Times New Roman"/>
                      <w:sz w:val="24"/>
                      <w:szCs w:val="24"/>
                    </w:rPr>
                    <w:t>En plus de la modulation par synchronisation à l’ECG, le mode prospectif où l’irradiation se fait uniquement sur une partie du cycle cardiaque (diastole)</w:t>
                  </w:r>
                  <w:r>
                    <w:rPr>
                      <w:rFonts w:ascii="Times New Roman" w:hAnsi="Times New Roman" w:cs="Times New Roman"/>
                      <w:sz w:val="24"/>
                      <w:szCs w:val="24"/>
                    </w:rPr>
                    <w:t xml:space="preserve"> </w:t>
                  </w:r>
                  <w:r w:rsidRPr="008C3408">
                    <w:rPr>
                      <w:rFonts w:ascii="Times New Roman" w:hAnsi="Times New Roman" w:cs="Times New Roman"/>
                      <w:sz w:val="24"/>
                      <w:szCs w:val="24"/>
                    </w:rPr>
                    <w:t xml:space="preserve">contribue à une grande réduction de dose par rapport au mode rétrospectif. </w:t>
                  </w:r>
                </w:p>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r>
                    <w:rPr>
                      <w:rFonts w:asciiTheme="majorBidi" w:hAnsiTheme="majorBidi" w:cstheme="majorBidi"/>
                      <w:sz w:val="24"/>
                      <w:szCs w:val="24"/>
                    </w:rPr>
                    <w:t>L</w:t>
                  </w:r>
                  <w:r w:rsidRPr="008C3408">
                    <w:rPr>
                      <w:rFonts w:asciiTheme="majorBidi" w:hAnsiTheme="majorBidi" w:cstheme="majorBidi"/>
                      <w:sz w:val="24"/>
                      <w:szCs w:val="24"/>
                    </w:rPr>
                    <w:t>e scanner apparaît actuellement comme une technique très prometteuse pour le scanner cardiaque. Le scanner volumique dynamique de 320 coupes améliore les capacités diagnostiques en imagerie cardiaque. Une utilisation rationnelle permet d'assurer aux patients un rapport bénéfice/risque de très loin supérieur à celui de presque toutes les explorations médicales. Il est nécessaire d'instaurer au sein des équipes utilisatrices du scanner une véritable culture de radioprotection, fondée sur l'autocontrôle rendu possible par l'affichage des index de dose et la connaissance des doses de référence.</w:t>
                  </w:r>
                </w:p>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p>
                <w:p w:rsidR="00795A7A" w:rsidRPr="008C3408" w:rsidRDefault="00795A7A" w:rsidP="00795A7A">
                  <w:pPr>
                    <w:autoSpaceDE w:val="0"/>
                    <w:autoSpaceDN w:val="0"/>
                    <w:adjustRightInd w:val="0"/>
                    <w:spacing w:after="0" w:line="240" w:lineRule="auto"/>
                    <w:jc w:val="both"/>
                    <w:rPr>
                      <w:rFonts w:ascii="Times New Roman" w:hAnsi="Times New Roman" w:cs="Times New Roman"/>
                      <w:sz w:val="24"/>
                      <w:szCs w:val="24"/>
                    </w:rPr>
                  </w:pPr>
                </w:p>
                <w:p w:rsidR="00795A7A" w:rsidRPr="0002219C" w:rsidRDefault="00795A7A" w:rsidP="00795A7A">
                  <w:pPr>
                    <w:jc w:val="center"/>
                    <w:rPr>
                      <w:bCs/>
                      <w:iCs/>
                      <w:sz w:val="24"/>
                      <w:szCs w:val="24"/>
                    </w:rPr>
                  </w:pPr>
                </w:p>
                <w:p w:rsidR="00795A7A" w:rsidRDefault="00795A7A" w:rsidP="00795A7A">
                  <w:pPr>
                    <w:jc w:val="center"/>
                    <w:rPr>
                      <w:bCs/>
                      <w:iCs/>
                    </w:rPr>
                  </w:pPr>
                </w:p>
                <w:p w:rsidR="00795A7A" w:rsidRDefault="00795A7A" w:rsidP="00795A7A">
                  <w:pPr>
                    <w:jc w:val="center"/>
                    <w:rPr>
                      <w:bCs/>
                      <w:iCs/>
                    </w:rPr>
                  </w:pPr>
                </w:p>
                <w:p w:rsidR="00795A7A" w:rsidRPr="00CC1BA4" w:rsidRDefault="00795A7A" w:rsidP="00795A7A">
                  <w:pPr>
                    <w:jc w:val="center"/>
                    <w:rPr>
                      <w:bCs/>
                      <w:iCs/>
                    </w:rPr>
                  </w:pPr>
                </w:p>
                <w:p w:rsidR="00795A7A" w:rsidRDefault="00795A7A" w:rsidP="00795A7A">
                  <w:pPr>
                    <w:jc w:val="center"/>
                  </w:pPr>
                </w:p>
              </w:txbxContent>
            </v:textbox>
          </v:shape>
        </w:pict>
      </w:r>
      <w:r w:rsidRPr="006A5847">
        <w:rPr>
          <w:rFonts w:ascii="Times New Roman" w:hAnsi="Times New Roman" w:cs="Times New Roman"/>
          <w:b/>
          <w:bCs/>
          <w:iCs/>
          <w:sz w:val="24"/>
          <w:szCs w:val="24"/>
        </w:rPr>
        <w:t>‘‘</w:t>
      </w:r>
      <w:r w:rsidRPr="002B0BA3">
        <w:rPr>
          <w:b/>
          <w:sz w:val="28"/>
          <w:szCs w:val="28"/>
        </w:rPr>
        <w:t xml:space="preserve"> </w:t>
      </w:r>
      <w:r w:rsidRPr="00EF461D">
        <w:rPr>
          <w:b/>
          <w:sz w:val="28"/>
          <w:szCs w:val="28"/>
        </w:rPr>
        <w:t>La Tomodensitométrie Multi- Coupes ‘MSCT’ appliquée en cardiologie</w:t>
      </w:r>
    </w:p>
    <w:p w:rsidR="00795A7A" w:rsidRPr="00EF461D" w:rsidRDefault="00795A7A" w:rsidP="00795A7A">
      <w:pPr>
        <w:tabs>
          <w:tab w:val="left" w:pos="7987"/>
        </w:tabs>
        <w:ind w:left="540"/>
        <w:jc w:val="center"/>
        <w:rPr>
          <w:b/>
          <w:sz w:val="28"/>
          <w:szCs w:val="28"/>
        </w:rPr>
      </w:pPr>
      <w:r w:rsidRPr="00EF461D">
        <w:rPr>
          <w:b/>
        </w:rPr>
        <w:t>’</w:t>
      </w:r>
    </w:p>
    <w:p w:rsidR="00795A7A" w:rsidRDefault="00795A7A" w:rsidP="00795A7A">
      <w:pPr>
        <w:ind w:left="540"/>
      </w:pPr>
    </w:p>
    <w:p w:rsidR="00795A7A" w:rsidRPr="006A5847" w:rsidRDefault="00795A7A" w:rsidP="00795A7A">
      <w:pPr>
        <w:spacing w:line="240" w:lineRule="auto"/>
        <w:jc w:val="center"/>
        <w:rPr>
          <w:rFonts w:ascii="Times New Roman" w:hAnsi="Times New Roman" w:cs="Times New Roman"/>
          <w:b/>
          <w:bCs/>
          <w:iCs/>
          <w:sz w:val="24"/>
          <w:szCs w:val="24"/>
        </w:rPr>
      </w:pPr>
      <w:r w:rsidRPr="006A5847">
        <w:rPr>
          <w:rFonts w:ascii="Times New Roman" w:hAnsi="Times New Roman" w:cs="Times New Roman"/>
          <w:b/>
          <w:bCs/>
          <w:iCs/>
          <w:sz w:val="24"/>
          <w:szCs w:val="24"/>
        </w:rPr>
        <w:t>’’</w:t>
      </w: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spacing w:after="0" w:line="240" w:lineRule="auto"/>
        <w:rPr>
          <w:rFonts w:ascii="Times New Roman" w:hAnsi="Times New Roman" w:cs="Times New Roman"/>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795A7A" w:rsidRPr="006A5847" w:rsidRDefault="00795A7A" w:rsidP="00795A7A">
      <w:pPr>
        <w:autoSpaceDE w:val="0"/>
        <w:autoSpaceDN w:val="0"/>
        <w:adjustRightInd w:val="0"/>
        <w:spacing w:after="0" w:line="240" w:lineRule="auto"/>
        <w:jc w:val="both"/>
        <w:rPr>
          <w:rFonts w:ascii="Times New Roman" w:hAnsi="Times New Roman" w:cs="Times New Roman"/>
          <w:b/>
          <w:bCs/>
          <w:caps/>
          <w:sz w:val="24"/>
          <w:szCs w:val="24"/>
        </w:rPr>
      </w:pPr>
    </w:p>
    <w:p w:rsidR="00A512E6" w:rsidRDefault="00795A7A" w:rsidP="00795A7A">
      <w:r w:rsidRPr="006A5847">
        <w:rPr>
          <w:rFonts w:ascii="Times New Roman" w:hAnsi="Times New Roman" w:cs="Times New Roman"/>
          <w:bCs/>
          <w:iCs/>
          <w:sz w:val="24"/>
          <w:szCs w:val="24"/>
        </w:rPr>
        <w:t xml:space="preserve">(*) </w:t>
      </w:r>
      <w:r w:rsidRPr="006A5847">
        <w:rPr>
          <w:rFonts w:ascii="Times New Roman" w:hAnsi="Times New Roman" w:cs="Times New Roman"/>
          <w:b/>
          <w:bCs/>
          <w:sz w:val="24"/>
          <w:szCs w:val="24"/>
        </w:rPr>
        <w:t xml:space="preserve">Directeur de mémoire : Mme </w:t>
      </w:r>
      <w:r w:rsidRPr="006A5847">
        <w:rPr>
          <w:rFonts w:ascii="Times New Roman" w:hAnsi="Times New Roman" w:cs="Times New Roman"/>
          <w:b/>
          <w:bCs/>
          <w:iCs/>
          <w:sz w:val="24"/>
          <w:szCs w:val="24"/>
        </w:rPr>
        <w:t xml:space="preserve">Nadia KHELASSI-TOUTAOUI </w:t>
      </w:r>
      <w:r w:rsidRPr="006A5847">
        <w:rPr>
          <w:rFonts w:ascii="Times New Roman" w:hAnsi="Times New Roman" w:cs="Times New Roman"/>
          <w:b/>
          <w:bCs/>
          <w:sz w:val="24"/>
          <w:szCs w:val="24"/>
        </w:rPr>
        <w:t>(CRNA)</w:t>
      </w:r>
    </w:p>
    <w:sectPr w:rsidR="00A512E6" w:rsidSect="00795A7A">
      <w:pgSz w:w="11906" w:h="16838"/>
      <w:pgMar w:top="1440" w:right="1274" w:bottom="1440" w:left="1418"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useFELayout/>
  </w:compat>
  <w:rsids>
    <w:rsidRoot w:val="00795A7A"/>
    <w:rsid w:val="00795A7A"/>
    <w:rsid w:val="00A512E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56</Words>
  <Characters>310</Characters>
  <Application>Microsoft Office Word</Application>
  <DocSecurity>0</DocSecurity>
  <Lines>2</Lines>
  <Paragraphs>1</Paragraphs>
  <ScaleCrop>false</ScaleCrop>
  <Company>BENALI</Company>
  <LinksUpToDate>false</LinksUpToDate>
  <CharactersWithSpaces>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Abdelhai</dc:creator>
  <cp:keywords/>
  <dc:description/>
  <cp:lastModifiedBy>Abdelhai</cp:lastModifiedBy>
  <cp:revision>2</cp:revision>
  <dcterms:created xsi:type="dcterms:W3CDTF">2012-10-01T18:41:00Z</dcterms:created>
  <dcterms:modified xsi:type="dcterms:W3CDTF">2012-10-01T18:42:00Z</dcterms:modified>
</cp:coreProperties>
</file>