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F82" w:rsidRPr="009A34A8" w:rsidRDefault="003F2F82" w:rsidP="003F2F82">
      <w:pPr>
        <w:jc w:val="center"/>
        <w:rPr>
          <w:b/>
          <w:sz w:val="30"/>
          <w:szCs w:val="30"/>
        </w:rPr>
      </w:pPr>
      <w:r w:rsidRPr="009A34A8">
        <w:rPr>
          <w:b/>
          <w:sz w:val="30"/>
          <w:szCs w:val="30"/>
        </w:rPr>
        <w:t>UNIVERSITE DES SCIENCES ET DE LA TECHNOLOGIE HOUARI BOUMEDIENNE</w:t>
      </w:r>
    </w:p>
    <w:p w:rsidR="003F2F82" w:rsidRPr="007D74AB" w:rsidRDefault="003F2F82" w:rsidP="003F2F82">
      <w:pPr>
        <w:jc w:val="center"/>
        <w:rPr>
          <w:b/>
          <w:sz w:val="34"/>
          <w:szCs w:val="34"/>
        </w:rPr>
      </w:pPr>
    </w:p>
    <w:p w:rsidR="003F2F82" w:rsidRPr="007D74AB" w:rsidRDefault="003F2F82" w:rsidP="003F2F82">
      <w:pPr>
        <w:jc w:val="center"/>
        <w:rPr>
          <w:b/>
          <w:sz w:val="28"/>
          <w:szCs w:val="28"/>
        </w:rPr>
      </w:pPr>
      <w:r w:rsidRPr="007D74AB">
        <w:rPr>
          <w:b/>
          <w:sz w:val="28"/>
          <w:szCs w:val="28"/>
        </w:rPr>
        <w:t>Laboratoire de thermodynamique et systèmes énergétiques</w:t>
      </w:r>
    </w:p>
    <w:p w:rsidR="003F2F82" w:rsidRPr="007D74AB" w:rsidRDefault="003F2F82" w:rsidP="003F2F82">
      <w:pPr>
        <w:jc w:val="center"/>
        <w:rPr>
          <w:b/>
          <w:sz w:val="28"/>
          <w:szCs w:val="28"/>
        </w:rPr>
      </w:pPr>
      <w:r w:rsidRPr="007D74AB">
        <w:rPr>
          <w:b/>
          <w:sz w:val="28"/>
          <w:szCs w:val="28"/>
        </w:rPr>
        <w:t>Faculté de Physique</w:t>
      </w:r>
    </w:p>
    <w:p w:rsidR="003F2F82" w:rsidRDefault="003F2F82" w:rsidP="003F2F82">
      <w:pPr>
        <w:jc w:val="center"/>
      </w:pPr>
    </w:p>
    <w:p w:rsidR="003F2F82" w:rsidRPr="00F9028A" w:rsidRDefault="003F2F82" w:rsidP="003F2F82">
      <w:pPr>
        <w:jc w:val="center"/>
        <w:rPr>
          <w:b/>
          <w:sz w:val="30"/>
          <w:szCs w:val="30"/>
        </w:rPr>
      </w:pPr>
      <w:r w:rsidRPr="00F9028A">
        <w:rPr>
          <w:b/>
          <w:sz w:val="30"/>
          <w:szCs w:val="30"/>
        </w:rPr>
        <w:t>Effet</w:t>
      </w:r>
      <w:r>
        <w:rPr>
          <w:b/>
          <w:sz w:val="30"/>
          <w:szCs w:val="30"/>
        </w:rPr>
        <w:t>s combinés</w:t>
      </w:r>
      <w:r w:rsidRPr="00F9028A">
        <w:rPr>
          <w:b/>
          <w:sz w:val="30"/>
          <w:szCs w:val="30"/>
        </w:rPr>
        <w:t xml:space="preserve"> d’un champ magnétique externe et de la déformation radiale d’un cylindre sur l’allée tourbillonnaire de </w:t>
      </w:r>
      <w:proofErr w:type="spellStart"/>
      <w:r w:rsidRPr="00F9028A">
        <w:rPr>
          <w:b/>
          <w:sz w:val="30"/>
          <w:szCs w:val="30"/>
        </w:rPr>
        <w:t>von</w:t>
      </w:r>
      <w:proofErr w:type="spellEnd"/>
      <w:r w:rsidRPr="00F9028A">
        <w:rPr>
          <w:b/>
          <w:sz w:val="30"/>
          <w:szCs w:val="30"/>
        </w:rPr>
        <w:t>-Karman(*)</w:t>
      </w:r>
    </w:p>
    <w:p w:rsidR="003F2F82" w:rsidRDefault="003F2F82" w:rsidP="003F2F82">
      <w:pPr>
        <w:jc w:val="center"/>
      </w:pPr>
    </w:p>
    <w:p w:rsidR="003F2F82" w:rsidRPr="00A06E4B" w:rsidRDefault="003F2F82" w:rsidP="003F2F82">
      <w:pPr>
        <w:jc w:val="center"/>
        <w:rPr>
          <w:b/>
          <w:sz w:val="30"/>
          <w:szCs w:val="30"/>
        </w:rPr>
      </w:pPr>
      <w:r w:rsidRPr="00A06E4B">
        <w:rPr>
          <w:b/>
          <w:sz w:val="30"/>
          <w:szCs w:val="30"/>
        </w:rPr>
        <w:t xml:space="preserve">RESUME DE THESE DE DOCTORAT </w:t>
      </w:r>
    </w:p>
    <w:p w:rsidR="003F2F82" w:rsidRDefault="003F2F82" w:rsidP="003F2F82">
      <w:pPr>
        <w:jc w:val="center"/>
      </w:pPr>
    </w:p>
    <w:p w:rsidR="003F2F82" w:rsidRPr="009A34A8" w:rsidRDefault="003F2F82" w:rsidP="003F2F82">
      <w:pPr>
        <w:spacing w:line="360" w:lineRule="auto"/>
        <w:jc w:val="center"/>
        <w:rPr>
          <w:sz w:val="30"/>
          <w:szCs w:val="30"/>
        </w:rPr>
      </w:pPr>
      <w:r w:rsidRPr="009A34A8">
        <w:rPr>
          <w:sz w:val="30"/>
          <w:szCs w:val="30"/>
        </w:rPr>
        <w:t xml:space="preserve">Présenté par </w:t>
      </w:r>
    </w:p>
    <w:p w:rsidR="003F2F82" w:rsidRPr="00A06E4B" w:rsidRDefault="003F2F82" w:rsidP="00DF7AD8">
      <w:pPr>
        <w:spacing w:after="240"/>
        <w:jc w:val="center"/>
        <w:rPr>
          <w:b/>
          <w:sz w:val="30"/>
          <w:szCs w:val="30"/>
        </w:rPr>
      </w:pPr>
      <w:r w:rsidRPr="00A06E4B">
        <w:rPr>
          <w:b/>
          <w:sz w:val="30"/>
          <w:szCs w:val="30"/>
        </w:rPr>
        <w:t>Mohammed AISSA (**)</w:t>
      </w:r>
    </w:p>
    <w:p w:rsidR="003F2F82" w:rsidRPr="00A06E4B" w:rsidRDefault="003F2F82" w:rsidP="003F2F82">
      <w:pPr>
        <w:jc w:val="center"/>
        <w:rPr>
          <w:b/>
          <w:sz w:val="30"/>
          <w:szCs w:val="30"/>
        </w:rPr>
      </w:pPr>
      <w:r w:rsidRPr="00A06E4B">
        <w:rPr>
          <w:b/>
          <w:sz w:val="30"/>
          <w:szCs w:val="30"/>
        </w:rPr>
        <w:t>Résumé</w:t>
      </w:r>
    </w:p>
    <w:p w:rsidR="003F2F82" w:rsidRPr="00A06E4B" w:rsidRDefault="003F2F82" w:rsidP="003F2F82">
      <w:pPr>
        <w:ind w:right="68" w:firstLine="516"/>
        <w:jc w:val="both"/>
        <w:rPr>
          <w:sz w:val="22"/>
          <w:szCs w:val="22"/>
        </w:rPr>
      </w:pPr>
      <w:r w:rsidRPr="00A06E4B">
        <w:rPr>
          <w:sz w:val="22"/>
          <w:szCs w:val="22"/>
        </w:rPr>
        <w:t>L’étude de l’écoulement autour d’un cylindre placé dans un milieu infini a fait l’objet de nombreuses investigations sur le plan expérimental et théorique</w:t>
      </w:r>
      <w:r>
        <w:rPr>
          <w:sz w:val="22"/>
          <w:szCs w:val="22"/>
        </w:rPr>
        <w:t xml:space="preserve"> en vue d’analyser le processus de déclenchement d’une instabilité -onde instationnaire- qu’on appelle allée tourbillonnaire de </w:t>
      </w:r>
      <w:proofErr w:type="spellStart"/>
      <w:r>
        <w:rPr>
          <w:sz w:val="22"/>
          <w:szCs w:val="22"/>
        </w:rPr>
        <w:t>von</w:t>
      </w:r>
      <w:proofErr w:type="spellEnd"/>
      <w:r>
        <w:rPr>
          <w:sz w:val="22"/>
          <w:szCs w:val="22"/>
        </w:rPr>
        <w:t>-Karman</w:t>
      </w:r>
      <w:r w:rsidRPr="00A06E4B">
        <w:rPr>
          <w:sz w:val="22"/>
          <w:szCs w:val="22"/>
        </w:rPr>
        <w:t>. Le choix de l’utilisation de cette géométrie découle essentiellement de sa simplicité et de la richesse</w:t>
      </w:r>
      <w:r>
        <w:rPr>
          <w:sz w:val="22"/>
          <w:szCs w:val="22"/>
        </w:rPr>
        <w:t xml:space="preserve"> phénoménologique en raison</w:t>
      </w:r>
      <w:r w:rsidRPr="00A06E4B">
        <w:rPr>
          <w:sz w:val="22"/>
          <w:szCs w:val="22"/>
        </w:rPr>
        <w:t xml:space="preserve"> des modes et régimes d’écoulements qui apparaissent en aval du cylindre. Dans la pratique industrielle, l’écoulement derrière un obstacle cylind</w:t>
      </w:r>
      <w:r>
        <w:rPr>
          <w:sz w:val="22"/>
          <w:szCs w:val="22"/>
        </w:rPr>
        <w:t>rique est fréquemment rencontré de sorte que</w:t>
      </w:r>
      <w:r w:rsidRPr="00A06E4B">
        <w:rPr>
          <w:sz w:val="22"/>
          <w:szCs w:val="22"/>
        </w:rPr>
        <w:t xml:space="preserve"> la connaissance approfondie et le contrôle de ce type d’écoulement s’avèrent indispensables dans la maîtrise des principaux paramètres régissant l’écoulement qui en résulte afin d’évaluer ses conséquences sur la stabilité des structures aérodynamique, aéronaval, dimensionnement des ponts et ouvrages d’art, etc….En particulier</w:t>
      </w:r>
      <w:r>
        <w:rPr>
          <w:sz w:val="22"/>
          <w:szCs w:val="22"/>
        </w:rPr>
        <w:t>,</w:t>
      </w:r>
      <w:r w:rsidRPr="00A06E4B">
        <w:rPr>
          <w:sz w:val="22"/>
          <w:szCs w:val="22"/>
        </w:rPr>
        <w:t xml:space="preserve"> dans le domaine de l’aviation civile on a estimé qu’une réduction de la trainée autour du profile d’aile de l’ordre de 60-70%</w:t>
      </w:r>
      <w:r>
        <w:rPr>
          <w:sz w:val="22"/>
          <w:szCs w:val="22"/>
        </w:rPr>
        <w:t>,</w:t>
      </w:r>
      <w:r w:rsidRPr="00A06E4B">
        <w:rPr>
          <w:sz w:val="22"/>
          <w:szCs w:val="22"/>
        </w:rPr>
        <w:t xml:space="preserve"> peut occasionner une économie d’énergie évaluée à 70 milliards de dollars par an pour l’Europe et les Etats Unis.   </w:t>
      </w:r>
    </w:p>
    <w:p w:rsidR="003F2F82" w:rsidRPr="00A06E4B" w:rsidRDefault="003F2F82" w:rsidP="003F2F82">
      <w:pPr>
        <w:jc w:val="both"/>
        <w:rPr>
          <w:sz w:val="22"/>
          <w:szCs w:val="22"/>
        </w:rPr>
      </w:pPr>
      <w:r w:rsidRPr="00A06E4B">
        <w:rPr>
          <w:sz w:val="22"/>
          <w:szCs w:val="22"/>
        </w:rPr>
        <w:t>Il s’agit de réaliser une investigation dans les trois directions suivantes :</w:t>
      </w:r>
    </w:p>
    <w:p w:rsidR="003F2F82" w:rsidRPr="00A06E4B" w:rsidRDefault="003F2F82" w:rsidP="003F2F82">
      <w:pPr>
        <w:pStyle w:val="Paragraphedeliste"/>
        <w:numPr>
          <w:ilvl w:val="0"/>
          <w:numId w:val="1"/>
        </w:numPr>
        <w:ind w:left="0" w:firstLine="426"/>
        <w:jc w:val="both"/>
        <w:rPr>
          <w:sz w:val="22"/>
          <w:szCs w:val="22"/>
        </w:rPr>
      </w:pPr>
      <w:r w:rsidRPr="00A06E4B">
        <w:rPr>
          <w:sz w:val="22"/>
          <w:szCs w:val="22"/>
        </w:rPr>
        <w:t xml:space="preserve">Le contrôle actif en écoulement aérodynamique par variation des fréquences vibratoires radiales appliqué au cylindre considéré. </w:t>
      </w:r>
    </w:p>
    <w:p w:rsidR="003F2F82" w:rsidRPr="00A06E4B" w:rsidRDefault="003F2F82" w:rsidP="003F2F82">
      <w:pPr>
        <w:pStyle w:val="Paragraphedeliste"/>
        <w:numPr>
          <w:ilvl w:val="0"/>
          <w:numId w:val="1"/>
        </w:numPr>
        <w:ind w:left="0" w:firstLine="426"/>
        <w:jc w:val="both"/>
        <w:rPr>
          <w:sz w:val="22"/>
          <w:szCs w:val="22"/>
        </w:rPr>
      </w:pPr>
      <w:r w:rsidRPr="00A06E4B">
        <w:rPr>
          <w:sz w:val="22"/>
          <w:szCs w:val="22"/>
        </w:rPr>
        <w:t xml:space="preserve">La détermination d’une loi de comportement d'un champ magnétique externe appliqué en fonction de différentes perméabilités magnétiques en régime statique (Magnétostatique). </w:t>
      </w:r>
    </w:p>
    <w:p w:rsidR="003F2F82" w:rsidRPr="00A06E4B" w:rsidRDefault="003F2F82" w:rsidP="003F2F82">
      <w:pPr>
        <w:pStyle w:val="Paragraphedeliste"/>
        <w:numPr>
          <w:ilvl w:val="0"/>
          <w:numId w:val="1"/>
        </w:numPr>
        <w:ind w:left="0" w:firstLine="426"/>
        <w:jc w:val="both"/>
        <w:rPr>
          <w:sz w:val="22"/>
          <w:szCs w:val="22"/>
        </w:rPr>
      </w:pPr>
      <w:r w:rsidRPr="00A06E4B">
        <w:rPr>
          <w:sz w:val="22"/>
          <w:szCs w:val="22"/>
        </w:rPr>
        <w:t>Le contrôle d'un écoulement instationnaire selon un champ magnétique externe en fonction des permé</w:t>
      </w:r>
      <w:r>
        <w:rPr>
          <w:sz w:val="22"/>
          <w:szCs w:val="22"/>
        </w:rPr>
        <w:t>abilités magnétiques imposées (M</w:t>
      </w:r>
      <w:r w:rsidRPr="00A06E4B">
        <w:rPr>
          <w:sz w:val="22"/>
          <w:szCs w:val="22"/>
        </w:rPr>
        <w:t>agnétohydrodynamique).</w:t>
      </w:r>
    </w:p>
    <w:p w:rsidR="003F2F82" w:rsidRPr="003F09BE" w:rsidRDefault="003F2F82" w:rsidP="003F2F82">
      <w:pPr>
        <w:pStyle w:val="Paragraphedeliste"/>
        <w:ind w:left="0" w:firstLine="567"/>
        <w:jc w:val="both"/>
        <w:rPr>
          <w:sz w:val="22"/>
          <w:szCs w:val="22"/>
          <w:lang w:eastAsia="en-US"/>
        </w:rPr>
      </w:pPr>
      <w:r w:rsidRPr="003F09BE">
        <w:rPr>
          <w:sz w:val="22"/>
          <w:szCs w:val="22"/>
          <w:lang w:eastAsia="en-US"/>
        </w:rPr>
        <w:t>Dans ces conditions, on aboutit aux résultats suivants :</w:t>
      </w:r>
    </w:p>
    <w:p w:rsidR="003F2F82" w:rsidRPr="003F09BE" w:rsidRDefault="003F2F82" w:rsidP="003F2F82">
      <w:pPr>
        <w:pStyle w:val="Paragraphedeliste"/>
        <w:ind w:left="0" w:firstLine="567"/>
        <w:jc w:val="both"/>
        <w:rPr>
          <w:sz w:val="22"/>
          <w:szCs w:val="22"/>
          <w:lang w:eastAsia="en-US"/>
        </w:rPr>
      </w:pPr>
      <w:r w:rsidRPr="003F09BE">
        <w:rPr>
          <w:sz w:val="22"/>
          <w:szCs w:val="22"/>
          <w:lang w:eastAsia="en-US"/>
        </w:rPr>
        <w:t xml:space="preserve">Détermination d’une fréquence de pulsation radiale optimale à F=3Fn qui est susceptible de réduire la trainée d’un taux de 37% environ permettant d’augmenter la portance avec suppression du phénomène de Lock-on (Accrochage en fréquences conduisant à la résonance). </w:t>
      </w:r>
    </w:p>
    <w:p w:rsidR="003F2F82" w:rsidRPr="003F09BE" w:rsidRDefault="003F2F82" w:rsidP="003F2F82">
      <w:pPr>
        <w:pStyle w:val="Paragraphedeliste"/>
        <w:ind w:left="0" w:firstLine="567"/>
        <w:jc w:val="both"/>
        <w:rPr>
          <w:lang w:eastAsia="en-US"/>
        </w:rPr>
      </w:pPr>
      <w:r w:rsidRPr="003F09BE">
        <w:rPr>
          <w:sz w:val="22"/>
          <w:szCs w:val="22"/>
          <w:lang w:eastAsia="en-US"/>
        </w:rPr>
        <w:t>Réduction considérable de la trainée par application d’un champ magnétique externe et, dans certain cas, produire une autopropulsion lorsqu’on impose une perméabilité magnétique du cylindre inférieure à celle du fluide</w:t>
      </w:r>
      <w:r w:rsidRPr="003F09BE">
        <w:rPr>
          <w:lang w:eastAsia="en-US"/>
        </w:rPr>
        <w:t>.</w:t>
      </w:r>
    </w:p>
    <w:p w:rsidR="003F2F82" w:rsidRDefault="003F2F82" w:rsidP="003F2F82">
      <w:pPr>
        <w:pStyle w:val="Paragraphedeliste"/>
        <w:ind w:left="0" w:firstLine="567"/>
        <w:jc w:val="both"/>
        <w:rPr>
          <w:sz w:val="22"/>
          <w:szCs w:val="22"/>
          <w:lang w:eastAsia="en-US"/>
        </w:rPr>
      </w:pPr>
      <w:r w:rsidRPr="003F09BE">
        <w:rPr>
          <w:sz w:val="22"/>
          <w:szCs w:val="22"/>
          <w:lang w:eastAsia="en-US"/>
        </w:rPr>
        <w:t xml:space="preserve">Ces résultats prometteurs vont donner lieu à un prolongement de nos travaux dans un domaine d’étendue finie et de perméabilités différentes tout en combinant les techniques de contrôle actif de type vibratoire-champ magnétique.  </w:t>
      </w:r>
    </w:p>
    <w:p w:rsidR="003F2F82" w:rsidRPr="003F09BE" w:rsidRDefault="003F2F82" w:rsidP="003F2F82">
      <w:pPr>
        <w:pStyle w:val="Paragraphedeliste"/>
        <w:ind w:left="0"/>
        <w:jc w:val="both"/>
        <w:rPr>
          <w:sz w:val="22"/>
          <w:szCs w:val="22"/>
          <w:lang w:eastAsia="en-US"/>
        </w:rPr>
      </w:pPr>
      <w:bookmarkStart w:id="0" w:name="_GoBack"/>
      <w:bookmarkEnd w:id="0"/>
    </w:p>
    <w:sectPr w:rsidR="003F2F82" w:rsidRPr="003F09B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F0863"/>
    <w:multiLevelType w:val="hybridMultilevel"/>
    <w:tmpl w:val="D2FA4DF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F82"/>
    <w:rsid w:val="003F2F82"/>
    <w:rsid w:val="004A102C"/>
    <w:rsid w:val="00703D48"/>
    <w:rsid w:val="0092559F"/>
    <w:rsid w:val="00DF7AD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C6919A-4333-4C5D-9E45-BD886D996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F82"/>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F2F82"/>
    <w:pPr>
      <w:ind w:left="720"/>
      <w:contextualSpacing/>
    </w:pPr>
  </w:style>
  <w:style w:type="paragraph" w:styleId="Textedebulles">
    <w:name w:val="Balloon Text"/>
    <w:basedOn w:val="Normal"/>
    <w:link w:val="TextedebullesCar"/>
    <w:uiPriority w:val="99"/>
    <w:semiHidden/>
    <w:unhideWhenUsed/>
    <w:rsid w:val="003F2F82"/>
    <w:rPr>
      <w:rFonts w:ascii="Segoe UI" w:hAnsi="Segoe UI" w:cs="Segoe UI"/>
      <w:sz w:val="18"/>
      <w:szCs w:val="18"/>
    </w:rPr>
  </w:style>
  <w:style w:type="character" w:customStyle="1" w:styleId="TextedebullesCar">
    <w:name w:val="Texte de bulles Car"/>
    <w:basedOn w:val="Policepardfaut"/>
    <w:link w:val="Textedebulles"/>
    <w:uiPriority w:val="99"/>
    <w:semiHidden/>
    <w:rsid w:val="003F2F82"/>
    <w:rPr>
      <w:rFonts w:ascii="Segoe UI" w:eastAsia="Times New Roman" w:hAnsi="Segoe UI" w:cs="Segoe UI"/>
      <w:sz w:val="18"/>
      <w:szCs w:val="1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437</Words>
  <Characters>2406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dc:creator>
  <cp:keywords/>
  <dc:description/>
  <cp:lastModifiedBy>naima</cp:lastModifiedBy>
  <cp:revision>4</cp:revision>
  <cp:lastPrinted>2017-12-03T07:55:00Z</cp:lastPrinted>
  <dcterms:created xsi:type="dcterms:W3CDTF">2017-12-03T07:55:00Z</dcterms:created>
  <dcterms:modified xsi:type="dcterms:W3CDTF">2018-02-28T13:34:00Z</dcterms:modified>
</cp:coreProperties>
</file>