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461A" w:rsidRDefault="0064461A" w:rsidP="0064461A">
      <w:pPr>
        <w:autoSpaceDE w:val="0"/>
        <w:autoSpaceDN w:val="0"/>
        <w:adjustRightInd w:val="0"/>
        <w:jc w:val="both"/>
        <w:rPr>
          <w:b/>
          <w:bCs/>
        </w:rPr>
      </w:pPr>
      <w:r w:rsidRPr="00E04A88">
        <w:rPr>
          <w:b/>
          <w:bCs/>
        </w:rPr>
        <w:t>Résumé</w:t>
      </w:r>
    </w:p>
    <w:p w:rsidR="0064461A" w:rsidRDefault="0064461A" w:rsidP="0064461A">
      <w:pPr>
        <w:jc w:val="both"/>
      </w:pPr>
      <w:r w:rsidRPr="00976A92">
        <w:t xml:space="preserve">Une augmentation de l'activité </w:t>
      </w:r>
      <w:proofErr w:type="spellStart"/>
      <w:r w:rsidRPr="00976A92">
        <w:t>hypothala</w:t>
      </w:r>
      <w:r>
        <w:t>mo</w:t>
      </w:r>
      <w:proofErr w:type="spellEnd"/>
      <w:r>
        <w:t>-</w:t>
      </w:r>
      <w:proofErr w:type="spellStart"/>
      <w:r>
        <w:t>hypophyso</w:t>
      </w:r>
      <w:proofErr w:type="spellEnd"/>
      <w:r>
        <w:t xml:space="preserve">-surrénalienne </w:t>
      </w:r>
      <w:r w:rsidRPr="00976A92">
        <w:t xml:space="preserve">est signalée chez les patients diabétiques. Le but de cette étude est d'examiner les altérations de la régulation de l'axe HPA au cours des stades précoces et tardifs d'un diabète induit par la </w:t>
      </w:r>
      <w:proofErr w:type="spellStart"/>
      <w:r w:rsidRPr="00976A92">
        <w:t>streptozotocine</w:t>
      </w:r>
      <w:proofErr w:type="spellEnd"/>
      <w:r w:rsidRPr="00976A92">
        <w:t xml:space="preserve"> (STZ) et par l'</w:t>
      </w:r>
      <w:proofErr w:type="spellStart"/>
      <w:r w:rsidRPr="00976A92">
        <w:t>alloxane</w:t>
      </w:r>
      <w:proofErr w:type="spellEnd"/>
      <w:r w:rsidRPr="00976A92">
        <w:t xml:space="preserve"> (ALX). L'étude est réalisée sur des rats </w:t>
      </w:r>
      <w:r>
        <w:t>blancs</w:t>
      </w:r>
      <w:r w:rsidRPr="00976A92">
        <w:t xml:space="preserve"> mâles et femelles</w:t>
      </w:r>
      <w:r>
        <w:t xml:space="preserve"> de</w:t>
      </w:r>
      <w:r w:rsidRPr="00976A92">
        <w:t xml:space="preserve"> souche </w:t>
      </w:r>
      <w:proofErr w:type="spellStart"/>
      <w:r w:rsidRPr="00976A92">
        <w:t>Wistar</w:t>
      </w:r>
      <w:proofErr w:type="spellEnd"/>
      <w:r w:rsidRPr="00976A92">
        <w:t xml:space="preserve"> recevant soit l'ALX, soit la STZ par voie intra péritonéale à raison de 120mg/Kg.</w:t>
      </w:r>
      <w:r w:rsidRPr="00976A92">
        <w:rPr>
          <w:lang w:bidi="ar-DZ"/>
        </w:rPr>
        <w:t xml:space="preserve"> </w:t>
      </w:r>
      <w:r>
        <w:t>Les résultats</w:t>
      </w:r>
      <w:r w:rsidRPr="00976A92">
        <w:t xml:space="preserve"> montrent d'une part une variation (P˃ 0.05) et une diminution (P˂ 0.01)  du poids corporel des rats mâles respectivement pour la STZ et l'ALX. D'autre</w:t>
      </w:r>
      <w:r>
        <w:t xml:space="preserve"> part</w:t>
      </w:r>
      <w:r w:rsidRPr="00976A92">
        <w:t xml:space="preserve"> on dénote une diminution d</w:t>
      </w:r>
      <w:r>
        <w:t xml:space="preserve">u poids des femelles (P˂ 0.01) </w:t>
      </w:r>
      <w:r w:rsidRPr="00976A92">
        <w:t>pour les deux traitements. Nos résultats en rapport au poids relatif des surrénales signalent des valeurs diminuées (P˃ 0.05)  par rapport aux témoins chez les femelles pour la STZ et les deux sexes pour l'ALX.</w:t>
      </w:r>
      <w:r>
        <w:rPr>
          <w:bCs/>
        </w:rPr>
        <w:t xml:space="preserve"> </w:t>
      </w:r>
      <w:r w:rsidRPr="00976A92">
        <w:rPr>
          <w:bCs/>
        </w:rPr>
        <w:t xml:space="preserve">Une augmentation dans les taux de glucose plasmatique </w:t>
      </w:r>
      <w:r w:rsidRPr="00976A92">
        <w:t>(P˂ 0.05), des</w:t>
      </w:r>
      <w:r w:rsidRPr="00976A92">
        <w:rPr>
          <w:iCs/>
        </w:rPr>
        <w:t xml:space="preserve"> taux de triglycérides et du cholestérol plasmatique</w:t>
      </w:r>
      <w:r w:rsidRPr="00976A92">
        <w:t xml:space="preserve"> </w:t>
      </w:r>
      <w:r w:rsidRPr="00976A92">
        <w:rPr>
          <w:bCs/>
        </w:rPr>
        <w:t>est enregistrée chez les deux sexes pour les deux traitements. Une variation de la protéinémie est indiquée chez les mâles traités à la STZ et l'ALX</w:t>
      </w:r>
      <w:r>
        <w:rPr>
          <w:bCs/>
        </w:rPr>
        <w:t>.</w:t>
      </w:r>
      <w:r w:rsidRPr="00976A92">
        <w:rPr>
          <w:bCs/>
        </w:rPr>
        <w:t xml:space="preserve"> </w:t>
      </w:r>
      <w:r>
        <w:rPr>
          <w:bCs/>
        </w:rPr>
        <w:t>Cependant, on note</w:t>
      </w:r>
      <w:r w:rsidRPr="00A15A99">
        <w:rPr>
          <w:bCs/>
        </w:rPr>
        <w:t xml:space="preserve"> </w:t>
      </w:r>
      <w:r w:rsidRPr="00976A92">
        <w:rPr>
          <w:bCs/>
        </w:rPr>
        <w:t>une augmentation significative</w:t>
      </w:r>
      <w:r>
        <w:rPr>
          <w:bCs/>
        </w:rPr>
        <w:t xml:space="preserve"> chez les  femelles</w:t>
      </w:r>
      <w:r w:rsidRPr="00976A92">
        <w:rPr>
          <w:bCs/>
        </w:rPr>
        <w:t xml:space="preserve">. </w:t>
      </w:r>
      <w:r w:rsidRPr="00976A92">
        <w:rPr>
          <w:bCs/>
          <w:iCs/>
        </w:rPr>
        <w:t xml:space="preserve">L’étude histologique du pancréas endocrine révèle une nécrose des îlots de </w:t>
      </w:r>
      <w:proofErr w:type="spellStart"/>
      <w:r w:rsidRPr="00976A92">
        <w:rPr>
          <w:bCs/>
          <w:iCs/>
        </w:rPr>
        <w:t>Langerhans</w:t>
      </w:r>
      <w:proofErr w:type="spellEnd"/>
      <w:r w:rsidRPr="00976A92">
        <w:rPr>
          <w:bCs/>
          <w:iCs/>
        </w:rPr>
        <w:t xml:space="preserve"> qui s’étend du cytoplasme jusqu’au noyau. Cet effet est plus important avec l'ALX. La mesure </w:t>
      </w:r>
      <w:proofErr w:type="spellStart"/>
      <w:r w:rsidRPr="00976A92">
        <w:rPr>
          <w:bCs/>
          <w:iCs/>
        </w:rPr>
        <w:t>morphométrique</w:t>
      </w:r>
      <w:proofErr w:type="spellEnd"/>
      <w:r w:rsidRPr="00976A92">
        <w:rPr>
          <w:bCs/>
          <w:iCs/>
        </w:rPr>
        <w:t xml:space="preserve"> des trois zones du cortex  surrénalien a rapporté chez les mâles traités à la STZ</w:t>
      </w:r>
      <w:r>
        <w:rPr>
          <w:bCs/>
          <w:iCs/>
        </w:rPr>
        <w:t xml:space="preserve"> </w:t>
      </w:r>
      <w:r w:rsidRPr="00976A92">
        <w:rPr>
          <w:bCs/>
          <w:iCs/>
        </w:rPr>
        <w:t xml:space="preserve">une diminution de la fasciculée (ZF) de 38,8% par rapport aux témoins et une hypertrophie de la réticulée (ZR) de 54,7%. Pour les mâles </w:t>
      </w:r>
      <w:proofErr w:type="spellStart"/>
      <w:r w:rsidRPr="00976A92">
        <w:rPr>
          <w:bCs/>
          <w:iCs/>
        </w:rPr>
        <w:t>alloxanisés</w:t>
      </w:r>
      <w:proofErr w:type="spellEnd"/>
      <w:r w:rsidRPr="00976A92">
        <w:rPr>
          <w:bCs/>
          <w:iCs/>
        </w:rPr>
        <w:t xml:space="preserve">, on enregistre une hypertrophie des trois zones: 83,14% (ZG), 20,35% (ZF) et 36,6% (ZR). Quant aux femelles, une hypertrophie </w:t>
      </w:r>
      <w:r>
        <w:rPr>
          <w:bCs/>
          <w:iCs/>
        </w:rPr>
        <w:t xml:space="preserve">de leurs surrénales </w:t>
      </w:r>
      <w:r w:rsidRPr="00976A92">
        <w:rPr>
          <w:bCs/>
          <w:iCs/>
        </w:rPr>
        <w:t>est observée avec la STZ (ZG: 83,14%; ZF: 20,35%; ZR: 36,6%)</w:t>
      </w:r>
      <w:r>
        <w:rPr>
          <w:bCs/>
          <w:iCs/>
        </w:rPr>
        <w:t>, par contre</w:t>
      </w:r>
      <w:r w:rsidRPr="00976A92">
        <w:rPr>
          <w:bCs/>
          <w:iCs/>
        </w:rPr>
        <w:t xml:space="preserve"> aucun effet n'est noté avec l'ALX. Concernant le dosage hormonal, nos résultats à une semaine de suivi ne</w:t>
      </w:r>
      <w:r w:rsidRPr="00976A92">
        <w:rPr>
          <w:bCs/>
          <w:color w:val="000000"/>
          <w:kern w:val="36"/>
        </w:rPr>
        <w:t xml:space="preserve"> montrent pas de changement des taux  plasmatiques de l'insuline des rats mâles traités à la </w:t>
      </w:r>
      <w:r>
        <w:rPr>
          <w:bCs/>
          <w:color w:val="000000"/>
          <w:kern w:val="36"/>
        </w:rPr>
        <w:t>STZ par rapport aux témoin</w:t>
      </w:r>
      <w:r w:rsidRPr="00976A92">
        <w:rPr>
          <w:bCs/>
          <w:color w:val="000000"/>
          <w:kern w:val="36"/>
        </w:rPr>
        <w:t>s. Le traitement à l'ALX, fait ressortir une diminution de l'insulinémie des rats mâles traités à une semaine et un mois de suivi (respectivement de 10,52% et 27,65%).</w:t>
      </w:r>
      <w:r w:rsidRPr="00976A92">
        <w:rPr>
          <w:bCs/>
          <w:iCs/>
        </w:rPr>
        <w:t xml:space="preserve"> Les femelles </w:t>
      </w:r>
      <w:proofErr w:type="spellStart"/>
      <w:r w:rsidRPr="00976A92">
        <w:rPr>
          <w:bCs/>
          <w:iCs/>
        </w:rPr>
        <w:t>alloxanisées</w:t>
      </w:r>
      <w:proofErr w:type="spellEnd"/>
      <w:r>
        <w:rPr>
          <w:bCs/>
          <w:iCs/>
        </w:rPr>
        <w:t xml:space="preserve"> </w:t>
      </w:r>
      <w:r w:rsidRPr="00976A92">
        <w:rPr>
          <w:bCs/>
          <w:iCs/>
        </w:rPr>
        <w:t xml:space="preserve">affichent une augmentation </w:t>
      </w:r>
      <w:r w:rsidRPr="00976A92">
        <w:t xml:space="preserve">(P˃ 0.05)  </w:t>
      </w:r>
      <w:r w:rsidRPr="00976A92">
        <w:rPr>
          <w:bCs/>
          <w:iCs/>
        </w:rPr>
        <w:t xml:space="preserve"> de 16,4%  à la période d'une semaine et une diminution </w:t>
      </w:r>
      <w:r w:rsidRPr="00976A92">
        <w:t xml:space="preserve">(P˃ 0.05) </w:t>
      </w:r>
      <w:r w:rsidRPr="00976A92">
        <w:rPr>
          <w:bCs/>
          <w:iCs/>
        </w:rPr>
        <w:t xml:space="preserve">de 10,65% à un mois de suivi. Des augmentations de 79,43% </w:t>
      </w:r>
      <w:r w:rsidRPr="00976A92">
        <w:t xml:space="preserve">(P˂ 0.001) </w:t>
      </w:r>
      <w:r w:rsidRPr="00976A92">
        <w:rPr>
          <w:bCs/>
          <w:iCs/>
        </w:rPr>
        <w:t xml:space="preserve">et de 53% </w:t>
      </w:r>
      <w:r w:rsidRPr="00976A92">
        <w:t xml:space="preserve">(P˃ 0.05) </w:t>
      </w:r>
      <w:r w:rsidRPr="00976A92">
        <w:rPr>
          <w:bCs/>
          <w:iCs/>
        </w:rPr>
        <w:t>des concentrations plasmatiques c</w:t>
      </w:r>
      <w:r>
        <w:rPr>
          <w:bCs/>
          <w:iCs/>
        </w:rPr>
        <w:t xml:space="preserve">irculantes </w:t>
      </w:r>
      <w:r w:rsidRPr="00976A92">
        <w:rPr>
          <w:bCs/>
          <w:iCs/>
        </w:rPr>
        <w:t>de l'ACTH sont observées chez les rats mâles traités par la STZ et l'ALX</w:t>
      </w:r>
      <w:r>
        <w:rPr>
          <w:bCs/>
          <w:iCs/>
        </w:rPr>
        <w:t xml:space="preserve"> à </w:t>
      </w:r>
      <w:r w:rsidRPr="00976A92">
        <w:rPr>
          <w:bCs/>
          <w:iCs/>
        </w:rPr>
        <w:t xml:space="preserve">une semaine. Par contre, une baisse de 22,48% </w:t>
      </w:r>
      <w:r w:rsidRPr="00976A92">
        <w:t xml:space="preserve">(P˂ 0.05) </w:t>
      </w:r>
      <w:r w:rsidRPr="00976A92">
        <w:rPr>
          <w:bCs/>
          <w:iCs/>
        </w:rPr>
        <w:t xml:space="preserve">est observée à un mois avec l'ALX. </w:t>
      </w:r>
      <w:r>
        <w:rPr>
          <w:bCs/>
          <w:iCs/>
        </w:rPr>
        <w:t>Chez</w:t>
      </w:r>
      <w:r w:rsidRPr="00976A92">
        <w:rPr>
          <w:bCs/>
          <w:iCs/>
        </w:rPr>
        <w:t xml:space="preserve"> les femelles</w:t>
      </w:r>
      <w:r>
        <w:rPr>
          <w:bCs/>
          <w:iCs/>
        </w:rPr>
        <w:t>, on</w:t>
      </w:r>
      <w:r w:rsidRPr="00976A92">
        <w:rPr>
          <w:bCs/>
          <w:iCs/>
        </w:rPr>
        <w:t xml:space="preserve"> signalent à une semaine,  une déplétion de 6% (P˃0,05) vis à vis des témoins. La </w:t>
      </w:r>
      <w:proofErr w:type="spellStart"/>
      <w:r w:rsidRPr="00976A92">
        <w:rPr>
          <w:bCs/>
          <w:iCs/>
        </w:rPr>
        <w:t>corticostéronémie</w:t>
      </w:r>
      <w:proofErr w:type="spellEnd"/>
      <w:r w:rsidRPr="00976A92">
        <w:rPr>
          <w:bCs/>
          <w:iCs/>
        </w:rPr>
        <w:t xml:space="preserve"> des rats traités (STZ et ALX) affiche presque les mêmes valeurs moyennes circulantes que leur</w:t>
      </w:r>
      <w:r>
        <w:rPr>
          <w:bCs/>
          <w:iCs/>
        </w:rPr>
        <w:t>s témoins à une semaine</w:t>
      </w:r>
      <w:r w:rsidRPr="00976A92">
        <w:rPr>
          <w:bCs/>
          <w:iCs/>
        </w:rPr>
        <w:t>. La même observation est relevée pour les rats trai</w:t>
      </w:r>
      <w:r>
        <w:rPr>
          <w:bCs/>
          <w:iCs/>
        </w:rPr>
        <w:t xml:space="preserve">tés par l'ALX à un mois. Le dosage </w:t>
      </w:r>
      <w:r w:rsidRPr="00976A92">
        <w:rPr>
          <w:bCs/>
          <w:iCs/>
        </w:rPr>
        <w:t xml:space="preserve">de la corticostérone </w:t>
      </w:r>
      <w:r>
        <w:rPr>
          <w:bCs/>
          <w:iCs/>
        </w:rPr>
        <w:t>glandulaire</w:t>
      </w:r>
      <w:r w:rsidRPr="00976A92">
        <w:rPr>
          <w:bCs/>
          <w:iCs/>
        </w:rPr>
        <w:t xml:space="preserve"> a montré une ten</w:t>
      </w:r>
      <w:r>
        <w:rPr>
          <w:bCs/>
          <w:iCs/>
        </w:rPr>
        <w:t>eur très élevée</w:t>
      </w:r>
      <w:r w:rsidRPr="00976A92">
        <w:rPr>
          <w:bCs/>
          <w:iCs/>
        </w:rPr>
        <w:t xml:space="preserve"> de 22,4%  par rapport  aux témoins. Le dosage de la delta-4-</w:t>
      </w:r>
      <w:proofErr w:type="spellStart"/>
      <w:r w:rsidRPr="00976A92">
        <w:rPr>
          <w:bCs/>
          <w:iCs/>
        </w:rPr>
        <w:t>androstenedione</w:t>
      </w:r>
      <w:proofErr w:type="spellEnd"/>
      <w:r w:rsidRPr="00976A92">
        <w:rPr>
          <w:bCs/>
          <w:iCs/>
        </w:rPr>
        <w:t xml:space="preserve"> plasmatique</w:t>
      </w:r>
      <w:r>
        <w:rPr>
          <w:bCs/>
          <w:iCs/>
        </w:rPr>
        <w:t xml:space="preserve"> et glandulaire </w:t>
      </w:r>
      <w:r w:rsidRPr="00976A92">
        <w:rPr>
          <w:bCs/>
          <w:iCs/>
        </w:rPr>
        <w:t>a fait ressortir une concentration de l'hormone circulante très inférieure à sa teneur dans la glande.</w:t>
      </w:r>
      <w:r w:rsidRPr="00976A92">
        <w:t xml:space="preserve"> Nos résultats montrent une diminution des valeurs moyennes plasmatiques et glandulaires de l'</w:t>
      </w:r>
      <w:proofErr w:type="spellStart"/>
      <w:r w:rsidRPr="00976A92">
        <w:t>androstenedione</w:t>
      </w:r>
      <w:proofErr w:type="spellEnd"/>
      <w:r w:rsidRPr="00976A92">
        <w:t xml:space="preserve"> respectiv</w:t>
      </w:r>
      <w:r>
        <w:t>ement de 50% (P˃ 0.05)  et de 14,63</w:t>
      </w:r>
      <w:r w:rsidRPr="00976A92">
        <w:t>% (P˃ 0.05)  chez les r</w:t>
      </w:r>
      <w:r>
        <w:t>ats mâles traités à la STZ d'</w:t>
      </w:r>
      <w:r w:rsidRPr="00976A92">
        <w:t>une semaine. Le traitement à l'ALX chez les rats mâles à u</w:t>
      </w:r>
      <w:r>
        <w:t>ne semaine et à un mois</w:t>
      </w:r>
      <w:r w:rsidRPr="00976A92">
        <w:t xml:space="preserve"> a entrainé une déplétion dans les taux plasmatiques de l'</w:t>
      </w:r>
      <w:proofErr w:type="spellStart"/>
      <w:r w:rsidRPr="00976A92">
        <w:t>androstènedione</w:t>
      </w:r>
      <w:proofErr w:type="spellEnd"/>
      <w:r w:rsidRPr="00976A92">
        <w:t xml:space="preserve"> respectivement de 34,48% (p˃0,05) et de 713% (p˂0,05). Par contre, on obtient des valeurs élevées (P˂ 0.001)  pour les teneurs glandulaires pour cette hormone de 31,92% et de 52,65% aux deux périodes de suivi. L'électrophorèse des protéines surrénaliennes révèle la présence de trois bandes: des protéines dont le PM est de 75 </w:t>
      </w:r>
      <w:proofErr w:type="spellStart"/>
      <w:r w:rsidRPr="00976A92">
        <w:t>KDa</w:t>
      </w:r>
      <w:proofErr w:type="spellEnd"/>
      <w:r w:rsidRPr="00976A92">
        <w:t xml:space="preserve"> pour les deux lots, une </w:t>
      </w:r>
      <w:r>
        <w:t>deuxième avec un</w:t>
      </w:r>
      <w:r w:rsidRPr="00976A92">
        <w:t xml:space="preserve"> le PM</w:t>
      </w:r>
      <w:r>
        <w:t xml:space="preserve"> qui se situe entre 35 et 25 </w:t>
      </w:r>
      <w:proofErr w:type="spellStart"/>
      <w:r>
        <w:t>KDa</w:t>
      </w:r>
      <w:proofErr w:type="spellEnd"/>
      <w:r>
        <w:t xml:space="preserve"> et une</w:t>
      </w:r>
      <w:r w:rsidRPr="00976A92">
        <w:t xml:space="preserve"> la de</w:t>
      </w:r>
      <w:r>
        <w:t xml:space="preserve">rnière avec un </w:t>
      </w:r>
      <w:r w:rsidRPr="00976A92">
        <w:t xml:space="preserve">PM entre 15  et 10 </w:t>
      </w:r>
      <w:proofErr w:type="spellStart"/>
      <w:r w:rsidRPr="00976A92">
        <w:t>KDa</w:t>
      </w:r>
      <w:proofErr w:type="spellEnd"/>
      <w:r w:rsidRPr="00976A92">
        <w:t>.</w:t>
      </w:r>
      <w:r w:rsidRPr="00976A92">
        <w:rPr>
          <w:lang w:bidi="ar-DZ"/>
        </w:rPr>
        <w:t xml:space="preserve"> </w:t>
      </w:r>
      <w:r w:rsidRPr="00976A92">
        <w:rPr>
          <w:rFonts w:eastAsiaTheme="minorHAnsi"/>
        </w:rPr>
        <w:t>Qu</w:t>
      </w:r>
      <w:r w:rsidRPr="00976A92">
        <w:t>ant au pancréas, il montre</w:t>
      </w:r>
      <w:r w:rsidRPr="00976A92">
        <w:rPr>
          <w:rFonts w:eastAsiaTheme="minorHAnsi"/>
        </w:rPr>
        <w:t xml:space="preserve"> la présence d’une bande de p</w:t>
      </w:r>
      <w:r w:rsidRPr="00976A92">
        <w:t>rotéines chez les témoins  de poids PM</w:t>
      </w:r>
      <w:r>
        <w:t xml:space="preserve"> qui</w:t>
      </w:r>
      <w:r w:rsidRPr="00976A92">
        <w:rPr>
          <w:rFonts w:eastAsiaTheme="minorHAnsi"/>
        </w:rPr>
        <w:t xml:space="preserve"> se sit</w:t>
      </w:r>
      <w:r w:rsidRPr="00976A92">
        <w:t xml:space="preserve">ue entre 75 et 50 </w:t>
      </w:r>
      <w:proofErr w:type="spellStart"/>
      <w:r w:rsidRPr="00976A92">
        <w:t>KDa</w:t>
      </w:r>
      <w:proofErr w:type="spellEnd"/>
      <w:r w:rsidRPr="00976A92">
        <w:t xml:space="preserve"> et </w:t>
      </w:r>
      <w:r w:rsidRPr="00976A92">
        <w:rPr>
          <w:rFonts w:eastAsiaTheme="minorHAnsi"/>
        </w:rPr>
        <w:t>une bande t</w:t>
      </w:r>
      <w:r w:rsidRPr="00976A92">
        <w:t>rès épaisse de PM inférieur</w:t>
      </w:r>
      <w:r w:rsidRPr="00976A92">
        <w:rPr>
          <w:rFonts w:eastAsiaTheme="minorHAnsi"/>
        </w:rPr>
        <w:t xml:space="preserve"> à 30 </w:t>
      </w:r>
      <w:proofErr w:type="spellStart"/>
      <w:r w:rsidRPr="00976A92">
        <w:rPr>
          <w:rFonts w:eastAsiaTheme="minorHAnsi"/>
        </w:rPr>
        <w:t>KDa</w:t>
      </w:r>
      <w:proofErr w:type="spellEnd"/>
      <w:r>
        <w:t xml:space="preserve"> chez les traités.</w:t>
      </w:r>
    </w:p>
    <w:p w:rsidR="00E266CF" w:rsidRPr="0064461A" w:rsidRDefault="0064461A" w:rsidP="0064461A">
      <w:pPr>
        <w:jc w:val="both"/>
        <w:rPr>
          <w:b/>
          <w:sz w:val="20"/>
          <w:szCs w:val="20"/>
        </w:rPr>
      </w:pPr>
      <w:r w:rsidRPr="00E07DD5">
        <w:rPr>
          <w:b/>
          <w:sz w:val="20"/>
          <w:szCs w:val="20"/>
        </w:rPr>
        <w:t>Mots</w:t>
      </w:r>
      <w:r>
        <w:rPr>
          <w:b/>
          <w:sz w:val="20"/>
          <w:szCs w:val="20"/>
        </w:rPr>
        <w:t xml:space="preserve"> </w:t>
      </w:r>
      <w:r w:rsidRPr="00E07DD5">
        <w:rPr>
          <w:b/>
          <w:sz w:val="20"/>
          <w:szCs w:val="20"/>
        </w:rPr>
        <w:t xml:space="preserve">clés: Axe </w:t>
      </w:r>
      <w:proofErr w:type="spellStart"/>
      <w:r w:rsidRPr="00E07DD5">
        <w:rPr>
          <w:b/>
          <w:sz w:val="20"/>
          <w:szCs w:val="20"/>
        </w:rPr>
        <w:t>hypothalamo</w:t>
      </w:r>
      <w:proofErr w:type="spellEnd"/>
      <w:r w:rsidRPr="00E07DD5">
        <w:rPr>
          <w:b/>
          <w:sz w:val="20"/>
          <w:szCs w:val="20"/>
        </w:rPr>
        <w:t>-</w:t>
      </w:r>
      <w:proofErr w:type="spellStart"/>
      <w:r w:rsidRPr="00E07DD5">
        <w:rPr>
          <w:b/>
          <w:sz w:val="20"/>
          <w:szCs w:val="20"/>
        </w:rPr>
        <w:t>hypophyso</w:t>
      </w:r>
      <w:proofErr w:type="spellEnd"/>
      <w:r w:rsidRPr="00E07DD5">
        <w:rPr>
          <w:b/>
          <w:sz w:val="20"/>
          <w:szCs w:val="20"/>
        </w:rPr>
        <w:t xml:space="preserve">-surrénalien; Diabète induit; </w:t>
      </w:r>
      <w:proofErr w:type="spellStart"/>
      <w:r w:rsidRPr="00E07DD5">
        <w:rPr>
          <w:b/>
          <w:sz w:val="20"/>
          <w:szCs w:val="20"/>
        </w:rPr>
        <w:t>Streptozotocine</w:t>
      </w:r>
      <w:proofErr w:type="spellEnd"/>
      <w:r w:rsidRPr="00E07DD5">
        <w:rPr>
          <w:b/>
          <w:sz w:val="20"/>
          <w:szCs w:val="20"/>
        </w:rPr>
        <w:t xml:space="preserve">; </w:t>
      </w:r>
      <w:proofErr w:type="spellStart"/>
      <w:r w:rsidRPr="00E07DD5">
        <w:rPr>
          <w:b/>
          <w:sz w:val="20"/>
          <w:szCs w:val="20"/>
        </w:rPr>
        <w:t>Alloxane</w:t>
      </w:r>
      <w:proofErr w:type="spellEnd"/>
      <w:r w:rsidRPr="00E07DD5">
        <w:rPr>
          <w:b/>
          <w:sz w:val="20"/>
          <w:szCs w:val="20"/>
        </w:rPr>
        <w:t xml:space="preserve">; Rat </w:t>
      </w:r>
      <w:r>
        <w:rPr>
          <w:b/>
          <w:sz w:val="20"/>
          <w:szCs w:val="20"/>
        </w:rPr>
        <w:t xml:space="preserve">               </w:t>
      </w:r>
      <w:r w:rsidRPr="00E07DD5">
        <w:rPr>
          <w:b/>
          <w:sz w:val="20"/>
          <w:szCs w:val="20"/>
        </w:rPr>
        <w:t>blanc.</w:t>
      </w:r>
    </w:p>
    <w:sectPr w:rsidR="00E266CF" w:rsidRPr="0064461A" w:rsidSect="00E266C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savePreviewPicture/>
  <w:compat/>
  <w:rsids>
    <w:rsidRoot w:val="0064461A"/>
    <w:rsid w:val="002E637B"/>
    <w:rsid w:val="0064461A"/>
    <w:rsid w:val="00E266CF"/>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461A"/>
    <w:pPr>
      <w:spacing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684</Words>
  <Characters>3764</Characters>
  <Application>Microsoft Office Word</Application>
  <DocSecurity>0</DocSecurity>
  <Lines>31</Lines>
  <Paragraphs>8</Paragraphs>
  <ScaleCrop>false</ScaleCrop>
  <Company/>
  <LinksUpToDate>false</LinksUpToDate>
  <CharactersWithSpaces>4440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dc:creator>
  <cp:lastModifiedBy>kl</cp:lastModifiedBy>
  <cp:revision>1</cp:revision>
  <dcterms:created xsi:type="dcterms:W3CDTF">2016-04-23T06:54:00Z</dcterms:created>
  <dcterms:modified xsi:type="dcterms:W3CDTF">2016-04-23T06:54:00Z</dcterms:modified>
</cp:coreProperties>
</file>