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2078" w:rsidRPr="00D52078" w:rsidRDefault="00D52078" w:rsidP="00D52078">
      <w:pPr>
        <w:bidi w:val="0"/>
        <w:rPr>
          <w:lang w:val="fr-FR" w:bidi="ar-DZ"/>
        </w:rPr>
      </w:pPr>
      <w:r w:rsidRPr="00D52078">
        <w:rPr>
          <w:lang w:val="fr-FR" w:bidi="ar-DZ"/>
        </w:rPr>
        <w:t xml:space="preserve">Dans ce travail, le noyau semi-magique 89Y (N=50) est étudié au moyen des réactions  en utilisant des faisceaux de rayonnements de </w:t>
      </w:r>
      <w:proofErr w:type="spellStart"/>
      <w:r w:rsidRPr="00D52078">
        <w:rPr>
          <w:lang w:val="fr-FR" w:bidi="ar-DZ"/>
        </w:rPr>
        <w:t>Bremsstrahlung</w:t>
      </w:r>
      <w:proofErr w:type="spellEnd"/>
      <w:r w:rsidRPr="00D52078">
        <w:rPr>
          <w:lang w:val="fr-FR" w:bidi="ar-DZ"/>
        </w:rPr>
        <w:t xml:space="preserve"> générés à partir de faisceaux d'électrons d'énergie cinétique 9.5 MeV et 13.2 MeV produits auprès de l'accélérateur supraconducteur d'électrons ELBE du Centre de Recherches Nucléaires de </w:t>
      </w:r>
      <w:proofErr w:type="spellStart"/>
      <w:r w:rsidRPr="00D52078">
        <w:rPr>
          <w:lang w:val="fr-FR" w:bidi="ar-DZ"/>
        </w:rPr>
        <w:t>Rossendorf</w:t>
      </w:r>
      <w:proofErr w:type="spellEnd"/>
      <w:r w:rsidRPr="00D52078">
        <w:rPr>
          <w:lang w:val="fr-FR" w:bidi="ar-DZ"/>
        </w:rPr>
        <w:t xml:space="preserve"> (Dresde, Allemagne).</w:t>
      </w:r>
    </w:p>
    <w:p w:rsidR="00D44A1E" w:rsidRPr="00D52078" w:rsidRDefault="00D52078" w:rsidP="00D52078">
      <w:pPr>
        <w:bidi w:val="0"/>
        <w:rPr>
          <w:rFonts w:hint="cs"/>
          <w:lang w:val="fr-FR" w:bidi="ar-DZ"/>
        </w:rPr>
      </w:pPr>
      <w:r w:rsidRPr="00D52078">
        <w:rPr>
          <w:lang w:val="fr-FR" w:bidi="ar-DZ"/>
        </w:rPr>
        <w:t xml:space="preserve">Les spectres de désexcitation sont étendus jusqu'à l'énergie de séparation des neutrons ( ) et près de 250 niveaux ont pu être ainsi identifiés. Des méthodes statistiques sont utilisées pour reconstituer la distribution des états excités alimentés en tenant compte de la contribution des états du continuum où les transitions ne sont pas résolues ; le bruit de fond dû à l'interaction des photons incidents avec les atomes de la cible et des détecteurs a été retranché en utilisant le code GEANT3 ; l'intensité des transitions inélastiques a été estimée puis soustraite du spectre expérimental ; les rapports d'embranchement des transitions vers l'état fondamental ainsi que les sections efficaces de diffusion ont été déterminés afin de déduire les sections efficaces d'absorption gamma des réactions  . Les sections efficaces d'absorption ainsi déterminées nous ont permis d'étendre vers les basses énergies les valeurs des sections efficaces déjà connues des </w:t>
      </w:r>
      <w:proofErr w:type="gramStart"/>
      <w:r w:rsidRPr="00D52078">
        <w:rPr>
          <w:lang w:val="fr-FR" w:bidi="ar-DZ"/>
        </w:rPr>
        <w:t>réactions  .</w:t>
      </w:r>
      <w:proofErr w:type="gramEnd"/>
      <w:r w:rsidRPr="00D52078">
        <w:rPr>
          <w:lang w:val="fr-FR" w:bidi="ar-DZ"/>
        </w:rPr>
        <w:t xml:space="preserve"> En particulier, la résonance dipolaire géante (GDR) a pu être mieux décrite vers les basses énergies alors que cette partie était approchée par extrapolation d'une courbe de Lorentz. Ainsi dans la gamme d'énergie 6-11 MeV, nous avons montré que l'approximation par une courbe de Lorentz sous évaluait les sections efficaces d'absorption .Cette augmentation des sections efficaces est associée à une concentration de transitions intenses également observée dans les isotones voisins 88Sr et 90Zr, elle a été interprétée comme pouvant provenir principalement d'une résonance dipolaire </w:t>
      </w:r>
      <w:proofErr w:type="spellStart"/>
      <w:r w:rsidRPr="00D52078">
        <w:rPr>
          <w:lang w:val="fr-FR" w:bidi="ar-DZ"/>
        </w:rPr>
        <w:t>Pygmy</w:t>
      </w:r>
      <w:proofErr w:type="spellEnd"/>
      <w:r w:rsidRPr="00D52078">
        <w:rPr>
          <w:lang w:val="fr-FR" w:bidi="ar-DZ"/>
        </w:rPr>
        <w:t xml:space="preserve"> (PDR). Les sections efficaces de photo-absorption mesurées du noyau 89Y ont été comparées aux prédictions du modèle théorique QRPA (</w:t>
      </w:r>
      <w:proofErr w:type="spellStart"/>
      <w:r w:rsidRPr="00D52078">
        <w:rPr>
          <w:lang w:val="fr-FR" w:bidi="ar-DZ"/>
        </w:rPr>
        <w:t>Quasiparticle</w:t>
      </w:r>
      <w:proofErr w:type="spellEnd"/>
      <w:r w:rsidRPr="00D52078">
        <w:rPr>
          <w:lang w:val="fr-FR" w:bidi="ar-DZ"/>
        </w:rPr>
        <w:t xml:space="preserve"> </w:t>
      </w:r>
      <w:proofErr w:type="spellStart"/>
      <w:r w:rsidRPr="00D52078">
        <w:rPr>
          <w:lang w:val="fr-FR" w:bidi="ar-DZ"/>
        </w:rPr>
        <w:t>Random</w:t>
      </w:r>
      <w:proofErr w:type="spellEnd"/>
      <w:r w:rsidRPr="00D52078">
        <w:rPr>
          <w:lang w:val="fr-FR" w:bidi="ar-DZ"/>
        </w:rPr>
        <w:t xml:space="preserve"> Phase Approximation).</w:t>
      </w:r>
    </w:p>
    <w:sectPr w:rsidR="00D44A1E" w:rsidRPr="00D52078"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compat/>
  <w:rsids>
    <w:rsidRoot w:val="00D52078"/>
    <w:rsid w:val="005F47AF"/>
    <w:rsid w:val="00D44A1E"/>
    <w:rsid w:val="00D5207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4A1E"/>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314</Words>
  <Characters>1790</Characters>
  <Application>Microsoft Office Word</Application>
  <DocSecurity>0</DocSecurity>
  <Lines>14</Lines>
  <Paragraphs>4</Paragraphs>
  <ScaleCrop>false</ScaleCrop>
  <Company/>
  <LinksUpToDate>false</LinksUpToDate>
  <CharactersWithSpaces>2100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2016-02-02T08:41:00Z</dcterms:created>
  <dcterms:modified xsi:type="dcterms:W3CDTF">2016-02-02T08:42:00Z</dcterms:modified>
</cp:coreProperties>
</file>