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95368" w:rsidRDefault="00495368" w:rsidP="00F21FCE">
      <w:pPr>
        <w:spacing w:line="360" w:lineRule="auto"/>
        <w:rPr>
          <w:rFonts w:ascii="Times New Roman" w:hAnsi="Times New Roman" w:cs="Times New Roman"/>
          <w:b/>
          <w:sz w:val="26"/>
          <w:szCs w:val="26"/>
        </w:rPr>
      </w:pPr>
      <w:bookmarkStart w:id="0" w:name="_GoBack"/>
      <w:bookmarkEnd w:id="0"/>
    </w:p>
    <w:p w:rsidR="00495368" w:rsidRDefault="00495368" w:rsidP="00F21FCE">
      <w:pPr>
        <w:spacing w:line="360" w:lineRule="auto"/>
        <w:rPr>
          <w:rFonts w:ascii="Times New Roman" w:hAnsi="Times New Roman" w:cs="Times New Roman"/>
          <w:b/>
          <w:sz w:val="26"/>
          <w:szCs w:val="26"/>
        </w:rPr>
      </w:pPr>
    </w:p>
    <w:p w:rsidR="00F21FCE" w:rsidRPr="00495368" w:rsidRDefault="00F21FCE" w:rsidP="00F21FCE">
      <w:pPr>
        <w:spacing w:line="360" w:lineRule="auto"/>
        <w:rPr>
          <w:rFonts w:ascii="Times New Roman" w:hAnsi="Times New Roman" w:cs="Times New Roman"/>
          <w:b/>
          <w:sz w:val="26"/>
          <w:szCs w:val="26"/>
          <w:u w:val="single"/>
        </w:rPr>
      </w:pPr>
      <w:r w:rsidRPr="00495368">
        <w:rPr>
          <w:rFonts w:ascii="Times New Roman" w:hAnsi="Times New Roman" w:cs="Times New Roman"/>
          <w:b/>
          <w:sz w:val="26"/>
          <w:szCs w:val="26"/>
          <w:u w:val="single"/>
        </w:rPr>
        <w:t>Résumé</w:t>
      </w:r>
      <w:r w:rsidR="00495368">
        <w:rPr>
          <w:rFonts w:ascii="Times New Roman" w:hAnsi="Times New Roman" w:cs="Times New Roman"/>
          <w:b/>
          <w:sz w:val="26"/>
          <w:szCs w:val="26"/>
          <w:u w:val="single"/>
        </w:rPr>
        <w:t> </w:t>
      </w:r>
      <w:r w:rsidR="00495368" w:rsidRPr="00495368">
        <w:rPr>
          <w:rFonts w:ascii="Times New Roman" w:hAnsi="Times New Roman" w:cs="Times New Roman"/>
          <w:b/>
          <w:sz w:val="26"/>
          <w:szCs w:val="26"/>
        </w:rPr>
        <w:t>:</w:t>
      </w:r>
    </w:p>
    <w:p w:rsidR="00F21FCE" w:rsidRPr="00FB35ED" w:rsidRDefault="00F21FCE" w:rsidP="00D6212C">
      <w:pPr>
        <w:spacing w:line="360" w:lineRule="auto"/>
        <w:ind w:firstLine="708"/>
        <w:jc w:val="both"/>
        <w:rPr>
          <w:rFonts w:asciiTheme="majorBidi" w:hAnsiTheme="majorBidi" w:cstheme="majorBidi"/>
          <w:sz w:val="24"/>
          <w:szCs w:val="24"/>
        </w:rPr>
      </w:pPr>
      <w:r w:rsidRPr="00FB35ED">
        <w:rPr>
          <w:rFonts w:ascii="Times New Roman" w:hAnsi="Times New Roman" w:cs="Times New Roman"/>
          <w:sz w:val="24"/>
          <w:szCs w:val="24"/>
        </w:rPr>
        <w:t xml:space="preserve">Dans ce travail, le marc de café est utilisé comme matière première pour la préparation des charbons actifs. L'objectif de l'étude actuelle est d'examiner l'efficacité des matériaux préparés vis à  vis de l’adsorption du phénol et du bleu de méthylène. </w:t>
      </w:r>
      <w:r w:rsidRPr="00FB35ED">
        <w:rPr>
          <w:rFonts w:asciiTheme="majorBidi" w:hAnsiTheme="majorBidi" w:cstheme="majorBidi"/>
          <w:sz w:val="24"/>
          <w:szCs w:val="24"/>
        </w:rPr>
        <w:t xml:space="preserve">La caractérisation de surfaces des matériaux ainsi obtenus a été mené au moyen de la spectroscopie FTIR et le dosage du de Boehm, quant </w:t>
      </w:r>
      <w:r w:rsidR="00D6212C">
        <w:rPr>
          <w:rFonts w:asciiTheme="majorBidi" w:hAnsiTheme="majorBidi" w:cstheme="majorBidi"/>
          <w:sz w:val="24"/>
          <w:szCs w:val="24"/>
        </w:rPr>
        <w:t>à</w:t>
      </w:r>
      <w:r w:rsidRPr="00FB35ED">
        <w:rPr>
          <w:rFonts w:asciiTheme="majorBidi" w:hAnsiTheme="majorBidi" w:cstheme="majorBidi"/>
          <w:sz w:val="24"/>
          <w:szCs w:val="24"/>
        </w:rPr>
        <w:t xml:space="preserve"> la texture poreuse</w:t>
      </w:r>
      <w:r w:rsidR="00D6212C">
        <w:rPr>
          <w:rFonts w:asciiTheme="majorBidi" w:hAnsiTheme="majorBidi" w:cstheme="majorBidi"/>
          <w:sz w:val="24"/>
          <w:szCs w:val="24"/>
        </w:rPr>
        <w:t>, elle</w:t>
      </w:r>
      <w:r w:rsidRPr="00FB35ED">
        <w:rPr>
          <w:rFonts w:asciiTheme="majorBidi" w:hAnsiTheme="majorBidi" w:cstheme="majorBidi"/>
          <w:sz w:val="24"/>
          <w:szCs w:val="24"/>
        </w:rPr>
        <w:t xml:space="preserve"> a été mené au moyen de l’adsorption d’azote et la microscopie électronique à balayage (</w:t>
      </w:r>
      <w:r w:rsidR="00D6212C">
        <w:rPr>
          <w:rFonts w:asciiTheme="majorBidi" w:hAnsiTheme="majorBidi" w:cstheme="majorBidi"/>
          <w:sz w:val="24"/>
          <w:szCs w:val="24"/>
        </w:rPr>
        <w:t>MEB</w:t>
      </w:r>
      <w:r w:rsidRPr="00FB35ED">
        <w:rPr>
          <w:rFonts w:asciiTheme="majorBidi" w:hAnsiTheme="majorBidi" w:cstheme="majorBidi"/>
          <w:sz w:val="24"/>
          <w:szCs w:val="24"/>
        </w:rPr>
        <w:t>). Les résultats de l’analyse de la spectrométrie FTIR et le dosage Boehm montrent la présence de nombreux groupes fonctionnels à la surface des charbons activés. Les groupes basiques montrent une forte dépendance avec le rapport d'imprégnation. Les isothermes d'adsorption-désorption d’azote montrent une évolution du volume adsorbé quand on augmente le taux d'imprégnation. Ceci est dû au fait du développement de la microporosité lorsque l'on augmente le taux d'imprégnation. La surface spécifique maximale obtenue à partir de la méthode BET était de 1778 m</w:t>
      </w:r>
      <w:r w:rsidRPr="00FB35ED">
        <w:rPr>
          <w:rFonts w:asciiTheme="majorBidi" w:hAnsiTheme="majorBidi" w:cstheme="majorBidi"/>
          <w:sz w:val="24"/>
          <w:szCs w:val="24"/>
          <w:vertAlign w:val="superscript"/>
        </w:rPr>
        <w:t>2</w:t>
      </w:r>
      <w:r w:rsidRPr="00FB35ED">
        <w:rPr>
          <w:rFonts w:asciiTheme="majorBidi" w:hAnsiTheme="majorBidi" w:cstheme="majorBidi"/>
          <w:sz w:val="24"/>
          <w:szCs w:val="24"/>
        </w:rPr>
        <w:t xml:space="preserve"> g</w:t>
      </w:r>
      <w:r w:rsidRPr="00FB35ED">
        <w:rPr>
          <w:rFonts w:asciiTheme="majorBidi" w:hAnsiTheme="majorBidi" w:cstheme="majorBidi"/>
          <w:sz w:val="24"/>
          <w:szCs w:val="24"/>
          <w:vertAlign w:val="superscript"/>
        </w:rPr>
        <w:t>-1</w:t>
      </w:r>
      <w:r w:rsidRPr="00FB35ED">
        <w:rPr>
          <w:rFonts w:asciiTheme="majorBidi" w:hAnsiTheme="majorBidi" w:cstheme="majorBidi"/>
          <w:sz w:val="24"/>
          <w:szCs w:val="24"/>
        </w:rPr>
        <w:t xml:space="preserve"> pour un taux d'imprégnation de 36 mmol de KOH / g de précurseur. Les charbons actifs obtenus ont été testés quant à leur efficacité d'adsorption vis-à-vis des molécules de phénol et de bleu de méthylène. L’influence du temps de contact, la concentration initiale et la température ont été étudiés. La cinétique d'adsorption a été déterminée en ajustant des modèles cinétiques pseudo-premier et pseudo-second ordre aux données expérimentales. Une évaluation à la fois des coefficients de détermination R</w:t>
      </w:r>
      <w:r w:rsidRPr="00FB35ED">
        <w:rPr>
          <w:rFonts w:asciiTheme="majorBidi" w:hAnsiTheme="majorBidi" w:cstheme="majorBidi"/>
          <w:sz w:val="24"/>
          <w:szCs w:val="24"/>
          <w:vertAlign w:val="superscript"/>
        </w:rPr>
        <w:t>2</w:t>
      </w:r>
      <w:r w:rsidRPr="00FB35ED">
        <w:rPr>
          <w:rFonts w:asciiTheme="majorBidi" w:hAnsiTheme="majorBidi" w:cstheme="majorBidi"/>
          <w:sz w:val="24"/>
          <w:szCs w:val="24"/>
        </w:rPr>
        <w:t xml:space="preserve"> et des valeurs de Q</w:t>
      </w:r>
      <w:r w:rsidRPr="00FB35ED">
        <w:rPr>
          <w:rFonts w:asciiTheme="majorBidi" w:hAnsiTheme="majorBidi" w:cstheme="majorBidi"/>
          <w:sz w:val="24"/>
          <w:szCs w:val="24"/>
          <w:vertAlign w:val="subscript"/>
        </w:rPr>
        <w:t>e</w:t>
      </w:r>
      <w:r w:rsidRPr="00FB35ED">
        <w:rPr>
          <w:rFonts w:asciiTheme="majorBidi" w:hAnsiTheme="majorBidi" w:cstheme="majorBidi"/>
          <w:sz w:val="24"/>
          <w:szCs w:val="24"/>
        </w:rPr>
        <w:t xml:space="preserve"> (quantité adsorbé à l’équilibre) estimées indiquent que l'ad</w:t>
      </w:r>
      <w:r w:rsidR="00D6212C">
        <w:rPr>
          <w:rFonts w:asciiTheme="majorBidi" w:hAnsiTheme="majorBidi" w:cstheme="majorBidi"/>
          <w:sz w:val="24"/>
          <w:szCs w:val="24"/>
        </w:rPr>
        <w:t>sorption de phénol et de bleu du</w:t>
      </w:r>
      <w:r w:rsidRPr="00FB35ED">
        <w:rPr>
          <w:rFonts w:asciiTheme="majorBidi" w:hAnsiTheme="majorBidi" w:cstheme="majorBidi"/>
          <w:sz w:val="24"/>
          <w:szCs w:val="24"/>
        </w:rPr>
        <w:t xml:space="preserve"> méthylène par les charbons activés obtenus peut être décrite de manière satisfaisante par le modèle de pseudo-second ordre. Les données expérimentales d'équilibre d'adsorption ont été ajustées aux modèles de Langmuir et de Freundlich. L'effet de la température sur l'adsorption a été étudié et les paramètres thermodynamiques (ΔH, ΔS et ΔG) ont été déterminés pour chacun des systèmes étudiés. L'adsorption à la fois pour le phénol et le bleu de méthylène s'est révélée être thermodynamiquement spontanée (ΔG &lt;0), bien qu'elle ait été exothermique (ΔH &lt;0) pour le phénol et endothermique (ΔH&gt; 0) pour le bleu de méthylène.</w:t>
      </w:r>
    </w:p>
    <w:p w:rsidR="002163C9" w:rsidRDefault="002163C9"/>
    <w:sectPr w:rsidR="002163C9" w:rsidSect="008C2564">
      <w:pgSz w:w="11906" w:h="16838" w:code="9"/>
      <w:pgMar w:top="1418" w:right="1418" w:bottom="1418" w:left="1418" w:header="709" w:footer="709" w:gutter="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0A48"/>
    <w:rsid w:val="00002DC9"/>
    <w:rsid w:val="00010E08"/>
    <w:rsid w:val="000214BC"/>
    <w:rsid w:val="000278D9"/>
    <w:rsid w:val="00031774"/>
    <w:rsid w:val="0003329F"/>
    <w:rsid w:val="0007271D"/>
    <w:rsid w:val="00074BDE"/>
    <w:rsid w:val="00090A48"/>
    <w:rsid w:val="00094D22"/>
    <w:rsid w:val="000B253E"/>
    <w:rsid w:val="000B28EC"/>
    <w:rsid w:val="000C0A80"/>
    <w:rsid w:val="000D0365"/>
    <w:rsid w:val="000E5D71"/>
    <w:rsid w:val="0011096D"/>
    <w:rsid w:val="00113DB0"/>
    <w:rsid w:val="0011474F"/>
    <w:rsid w:val="001335CD"/>
    <w:rsid w:val="00154D08"/>
    <w:rsid w:val="00172D75"/>
    <w:rsid w:val="00193E14"/>
    <w:rsid w:val="001B3A63"/>
    <w:rsid w:val="001C0136"/>
    <w:rsid w:val="001C5647"/>
    <w:rsid w:val="001D676C"/>
    <w:rsid w:val="002163C9"/>
    <w:rsid w:val="002169BA"/>
    <w:rsid w:val="002230AB"/>
    <w:rsid w:val="002350ED"/>
    <w:rsid w:val="00247330"/>
    <w:rsid w:val="00263A54"/>
    <w:rsid w:val="00263D2C"/>
    <w:rsid w:val="002654B8"/>
    <w:rsid w:val="00266921"/>
    <w:rsid w:val="00284C3E"/>
    <w:rsid w:val="00296235"/>
    <w:rsid w:val="002A7A87"/>
    <w:rsid w:val="002C7083"/>
    <w:rsid w:val="002E23D1"/>
    <w:rsid w:val="002F1649"/>
    <w:rsid w:val="002F21E7"/>
    <w:rsid w:val="00360001"/>
    <w:rsid w:val="00367289"/>
    <w:rsid w:val="003720A0"/>
    <w:rsid w:val="00380C2F"/>
    <w:rsid w:val="003D0E1E"/>
    <w:rsid w:val="003D1FCD"/>
    <w:rsid w:val="004013FD"/>
    <w:rsid w:val="004042C8"/>
    <w:rsid w:val="00407075"/>
    <w:rsid w:val="00407F6B"/>
    <w:rsid w:val="004129C5"/>
    <w:rsid w:val="00435E8E"/>
    <w:rsid w:val="00441C59"/>
    <w:rsid w:val="00450001"/>
    <w:rsid w:val="00452432"/>
    <w:rsid w:val="00454EBB"/>
    <w:rsid w:val="00480A2C"/>
    <w:rsid w:val="00481930"/>
    <w:rsid w:val="00495368"/>
    <w:rsid w:val="004A307D"/>
    <w:rsid w:val="004B4864"/>
    <w:rsid w:val="004B6893"/>
    <w:rsid w:val="004C5381"/>
    <w:rsid w:val="004D6FD6"/>
    <w:rsid w:val="004F3CD9"/>
    <w:rsid w:val="004F7335"/>
    <w:rsid w:val="00511523"/>
    <w:rsid w:val="0051619F"/>
    <w:rsid w:val="005259EE"/>
    <w:rsid w:val="00537B9F"/>
    <w:rsid w:val="005A04C3"/>
    <w:rsid w:val="005C3911"/>
    <w:rsid w:val="005E2D33"/>
    <w:rsid w:val="005E2DF6"/>
    <w:rsid w:val="006071E2"/>
    <w:rsid w:val="0064589B"/>
    <w:rsid w:val="00657F33"/>
    <w:rsid w:val="006679F1"/>
    <w:rsid w:val="00673E4D"/>
    <w:rsid w:val="00675CC1"/>
    <w:rsid w:val="006774F9"/>
    <w:rsid w:val="00680185"/>
    <w:rsid w:val="006B476F"/>
    <w:rsid w:val="006B7AFD"/>
    <w:rsid w:val="006C12CF"/>
    <w:rsid w:val="006F1900"/>
    <w:rsid w:val="007346EB"/>
    <w:rsid w:val="00745C75"/>
    <w:rsid w:val="0076195D"/>
    <w:rsid w:val="007663B9"/>
    <w:rsid w:val="00777491"/>
    <w:rsid w:val="00791AB9"/>
    <w:rsid w:val="007B2166"/>
    <w:rsid w:val="007E01FC"/>
    <w:rsid w:val="007E29F2"/>
    <w:rsid w:val="007F0B4D"/>
    <w:rsid w:val="00800BCD"/>
    <w:rsid w:val="00817D91"/>
    <w:rsid w:val="00821868"/>
    <w:rsid w:val="00831A93"/>
    <w:rsid w:val="00843B9E"/>
    <w:rsid w:val="00847F7D"/>
    <w:rsid w:val="00864029"/>
    <w:rsid w:val="0086556E"/>
    <w:rsid w:val="008935CC"/>
    <w:rsid w:val="008952B5"/>
    <w:rsid w:val="008C2564"/>
    <w:rsid w:val="008C4196"/>
    <w:rsid w:val="008C6CFF"/>
    <w:rsid w:val="008F1E20"/>
    <w:rsid w:val="0090507E"/>
    <w:rsid w:val="0093680F"/>
    <w:rsid w:val="00937793"/>
    <w:rsid w:val="0095261A"/>
    <w:rsid w:val="00952948"/>
    <w:rsid w:val="00954F56"/>
    <w:rsid w:val="00971E74"/>
    <w:rsid w:val="00995035"/>
    <w:rsid w:val="00996D1B"/>
    <w:rsid w:val="009B0DFA"/>
    <w:rsid w:val="009B2887"/>
    <w:rsid w:val="009C3CDE"/>
    <w:rsid w:val="009D208B"/>
    <w:rsid w:val="009D6209"/>
    <w:rsid w:val="009E3A7A"/>
    <w:rsid w:val="009E5C81"/>
    <w:rsid w:val="009F028C"/>
    <w:rsid w:val="00A017F4"/>
    <w:rsid w:val="00A1393F"/>
    <w:rsid w:val="00A30C62"/>
    <w:rsid w:val="00A375F2"/>
    <w:rsid w:val="00A42CF1"/>
    <w:rsid w:val="00A46821"/>
    <w:rsid w:val="00A5158B"/>
    <w:rsid w:val="00A625D7"/>
    <w:rsid w:val="00A6617E"/>
    <w:rsid w:val="00A8003A"/>
    <w:rsid w:val="00AA3907"/>
    <w:rsid w:val="00AA7883"/>
    <w:rsid w:val="00AC2CE8"/>
    <w:rsid w:val="00B133F4"/>
    <w:rsid w:val="00B17107"/>
    <w:rsid w:val="00B3164C"/>
    <w:rsid w:val="00B67DE7"/>
    <w:rsid w:val="00B86156"/>
    <w:rsid w:val="00BA319F"/>
    <w:rsid w:val="00BA7D6A"/>
    <w:rsid w:val="00BD14F0"/>
    <w:rsid w:val="00BD7A16"/>
    <w:rsid w:val="00BE0C49"/>
    <w:rsid w:val="00C2274B"/>
    <w:rsid w:val="00C2329E"/>
    <w:rsid w:val="00C25554"/>
    <w:rsid w:val="00C36B24"/>
    <w:rsid w:val="00C37891"/>
    <w:rsid w:val="00C6127E"/>
    <w:rsid w:val="00C71129"/>
    <w:rsid w:val="00C83D5E"/>
    <w:rsid w:val="00CD2ABC"/>
    <w:rsid w:val="00CD3E82"/>
    <w:rsid w:val="00D05903"/>
    <w:rsid w:val="00D6212C"/>
    <w:rsid w:val="00D65E97"/>
    <w:rsid w:val="00D70483"/>
    <w:rsid w:val="00D76296"/>
    <w:rsid w:val="00D84B0D"/>
    <w:rsid w:val="00D920F2"/>
    <w:rsid w:val="00DE652F"/>
    <w:rsid w:val="00DE7918"/>
    <w:rsid w:val="00E0248C"/>
    <w:rsid w:val="00E1156F"/>
    <w:rsid w:val="00E15946"/>
    <w:rsid w:val="00E24A70"/>
    <w:rsid w:val="00E41094"/>
    <w:rsid w:val="00E42B65"/>
    <w:rsid w:val="00E528D5"/>
    <w:rsid w:val="00E61717"/>
    <w:rsid w:val="00E651B1"/>
    <w:rsid w:val="00E66071"/>
    <w:rsid w:val="00E66637"/>
    <w:rsid w:val="00EA22D1"/>
    <w:rsid w:val="00EC2F4C"/>
    <w:rsid w:val="00EC6107"/>
    <w:rsid w:val="00EF6840"/>
    <w:rsid w:val="00EF6EEA"/>
    <w:rsid w:val="00F05C25"/>
    <w:rsid w:val="00F1260F"/>
    <w:rsid w:val="00F17264"/>
    <w:rsid w:val="00F17C2B"/>
    <w:rsid w:val="00F21FCE"/>
    <w:rsid w:val="00F251A5"/>
    <w:rsid w:val="00F30721"/>
    <w:rsid w:val="00F60B9A"/>
    <w:rsid w:val="00F62D3F"/>
    <w:rsid w:val="00F74ECB"/>
    <w:rsid w:val="00F776AB"/>
    <w:rsid w:val="00F8237E"/>
    <w:rsid w:val="00F914A9"/>
    <w:rsid w:val="00FA448E"/>
    <w:rsid w:val="00FB0A62"/>
    <w:rsid w:val="00FB35ED"/>
    <w:rsid w:val="00FD634D"/>
    <w:rsid w:val="00FE3465"/>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D22088A-4562-4EE9-A842-5A5705E526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21FCE"/>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357</Words>
  <Characters>1968</Characters>
  <Application>Microsoft Office Word</Application>
  <DocSecurity>0</DocSecurity>
  <Lines>16</Lines>
  <Paragraphs>4</Paragraphs>
  <ScaleCrop>false</ScaleCrop>
  <Company/>
  <LinksUpToDate>false</LinksUpToDate>
  <CharactersWithSpaces>2321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Hamza</dc:creator>
  <cp:keywords/>
  <dc:description/>
  <cp:lastModifiedBy>naima</cp:lastModifiedBy>
  <cp:revision>6</cp:revision>
  <dcterms:created xsi:type="dcterms:W3CDTF">2017-11-02T11:51:00Z</dcterms:created>
  <dcterms:modified xsi:type="dcterms:W3CDTF">2018-07-02T12:17:00Z</dcterms:modified>
</cp:coreProperties>
</file>