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18B9" w:rsidRPr="008118B9" w:rsidRDefault="008118B9" w:rsidP="008118B9">
      <w:pPr>
        <w:bidi w:val="0"/>
        <w:rPr>
          <w:lang w:val="fr-FR" w:bidi="ar-DZ"/>
        </w:rPr>
      </w:pPr>
      <w:r w:rsidRPr="008118B9">
        <w:rPr>
          <w:lang w:val="fr-FR" w:bidi="ar-DZ"/>
        </w:rPr>
        <w:t>L'objectif de cette thèse est la compréhension des phénomènes mécaniques liés aux creusements d'un tunnel peu profond dans un sol meuble. La stratégie proposée dans ce travail est basée sur plusieurs grands axes qui sont traités. Dans ce contexte, nous avons analysé les résultats de la galerie de reconnaissance d'un des tunnels du métro d'Alger et de l'instrumentation mise en place. Le dépouillement des observations et des tassements de surface obtenues, lors du creusement des deux galeries pilotes du tunnel définitif, ont été également étudiés.</w:t>
      </w:r>
    </w:p>
    <w:p w:rsidR="008118B9" w:rsidRPr="008118B9" w:rsidRDefault="008118B9" w:rsidP="008118B9">
      <w:pPr>
        <w:bidi w:val="0"/>
        <w:rPr>
          <w:lang w:val="fr-FR" w:bidi="ar-DZ"/>
        </w:rPr>
      </w:pPr>
      <w:r w:rsidRPr="008118B9">
        <w:rPr>
          <w:lang w:val="fr-FR" w:bidi="ar-DZ"/>
        </w:rPr>
        <w:t>En fonction des résultats obtenus, une stratégie est retenue pour la stabilisation du front de taille par une voûte parapluie horizontale en jet grouting.</w:t>
      </w:r>
    </w:p>
    <w:p w:rsidR="008118B9" w:rsidRPr="008118B9" w:rsidRDefault="008118B9" w:rsidP="008118B9">
      <w:pPr>
        <w:bidi w:val="0"/>
        <w:rPr>
          <w:lang w:val="fr-FR" w:bidi="ar-DZ"/>
        </w:rPr>
      </w:pPr>
      <w:r w:rsidRPr="008118B9">
        <w:rPr>
          <w:lang w:val="fr-FR" w:bidi="ar-DZ"/>
        </w:rPr>
        <w:t xml:space="preserve">Dans ce contexte, nous avons procédé également à l'analyse des résultats des mesures et des observations obtenues après renforcement de la face d'excavation avec jet grouting. Des modélisations numériques 2D et 3D par le code CESAR-LCPC ont été effectuées. Nous avons procédé à la mise en place d'une stratégie d'identification des paramètres de la loi de comportement Mohr-Coulomb qui est basée sur les essais de laboratoire, in situ et les résultats de l'étude paramétrique par le code numérique. </w:t>
      </w:r>
    </w:p>
    <w:p w:rsidR="001326DF" w:rsidRPr="008118B9" w:rsidRDefault="008118B9" w:rsidP="008118B9">
      <w:pPr>
        <w:bidi w:val="0"/>
        <w:rPr>
          <w:rFonts w:hint="cs"/>
          <w:lang w:val="fr-FR" w:bidi="ar-DZ"/>
        </w:rPr>
      </w:pPr>
      <w:r w:rsidRPr="008118B9">
        <w:rPr>
          <w:lang w:val="fr-FR" w:bidi="ar-DZ"/>
        </w:rPr>
        <w:t>Et enfin, des confrontations entre les simulations issues des méthodes analytiques et les expériences, ont fait ressortir l'influence des différents facteurs qui contribuent à la stabilité et à l'amplitude du tassement de surface (comportement du massif, présence de l'eau, hétérogénéités du massif etc.).</w:t>
      </w:r>
    </w:p>
    <w:sectPr w:rsidR="001326DF" w:rsidRPr="008118B9"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118B9"/>
    <w:rsid w:val="001326DF"/>
    <w:rsid w:val="006D5754"/>
    <w:rsid w:val="008118B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26D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225</Words>
  <Characters>1288</Characters>
  <Application>Microsoft Office Word</Application>
  <DocSecurity>0</DocSecurity>
  <Lines>10</Lines>
  <Paragraphs>3</Paragraphs>
  <ScaleCrop>false</ScaleCrop>
  <Company/>
  <LinksUpToDate>false</LinksUpToDate>
  <CharactersWithSpaces>1510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2014-12-09T08:23:00Z</dcterms:created>
  <dcterms:modified xsi:type="dcterms:W3CDTF">2014-12-09T08:24:00Z</dcterms:modified>
</cp:coreProperties>
</file>