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10F4" w:rsidRPr="000510F4" w:rsidRDefault="000510F4" w:rsidP="000510F4">
      <w:pPr>
        <w:bidi w:val="0"/>
        <w:rPr>
          <w:lang w:val="fr-FR" w:bidi="ar-DZ"/>
        </w:rPr>
      </w:pPr>
      <w:r w:rsidRPr="000510F4">
        <w:rPr>
          <w:lang w:val="fr-FR" w:bidi="ar-DZ"/>
        </w:rPr>
        <w:t>Une mauvaise solubilité du principe actif, sa forte sensibilité, des propriétés organoleptiques</w:t>
      </w:r>
    </w:p>
    <w:p w:rsidR="000510F4" w:rsidRPr="000510F4" w:rsidRDefault="000510F4" w:rsidP="000510F4">
      <w:pPr>
        <w:bidi w:val="0"/>
        <w:rPr>
          <w:lang w:val="fr-FR" w:bidi="ar-DZ"/>
        </w:rPr>
      </w:pPr>
      <w:proofErr w:type="gramStart"/>
      <w:r w:rsidRPr="000510F4">
        <w:rPr>
          <w:lang w:val="fr-FR" w:bidi="ar-DZ"/>
        </w:rPr>
        <w:t>indésirables</w:t>
      </w:r>
      <w:proofErr w:type="gramEnd"/>
      <w:r w:rsidRPr="000510F4">
        <w:rPr>
          <w:lang w:val="fr-FR" w:bidi="ar-DZ"/>
        </w:rPr>
        <w:t xml:space="preserve"> ou une biodisponibilité réduite sont les principales difficultés auxquelles les galénistes</w:t>
      </w:r>
    </w:p>
    <w:p w:rsidR="000510F4" w:rsidRPr="000510F4" w:rsidRDefault="000510F4" w:rsidP="000510F4">
      <w:pPr>
        <w:bidi w:val="0"/>
        <w:rPr>
          <w:lang w:val="fr-FR" w:bidi="ar-DZ"/>
        </w:rPr>
      </w:pPr>
      <w:proofErr w:type="gramStart"/>
      <w:r w:rsidRPr="000510F4">
        <w:rPr>
          <w:lang w:val="fr-FR" w:bidi="ar-DZ"/>
        </w:rPr>
        <w:t>sont</w:t>
      </w:r>
      <w:proofErr w:type="gramEnd"/>
      <w:r w:rsidRPr="000510F4">
        <w:rPr>
          <w:lang w:val="fr-FR" w:bidi="ar-DZ"/>
        </w:rPr>
        <w:t xml:space="preserve"> confrontés. La solution à ces problèmes a été apportée par l’utilisation de nouvelles technologies</w:t>
      </w:r>
    </w:p>
    <w:p w:rsidR="000510F4" w:rsidRPr="000510F4" w:rsidRDefault="000510F4" w:rsidP="000510F4">
      <w:pPr>
        <w:bidi w:val="0"/>
        <w:rPr>
          <w:lang w:val="fr-FR" w:bidi="ar-DZ"/>
        </w:rPr>
      </w:pPr>
      <w:proofErr w:type="gramStart"/>
      <w:r w:rsidRPr="000510F4">
        <w:rPr>
          <w:lang w:val="fr-FR" w:bidi="ar-DZ"/>
        </w:rPr>
        <w:t>qui</w:t>
      </w:r>
      <w:proofErr w:type="gramEnd"/>
      <w:r w:rsidRPr="000510F4">
        <w:rPr>
          <w:lang w:val="fr-FR" w:bidi="ar-DZ"/>
        </w:rPr>
        <w:t xml:space="preserve"> permettent d’obtenir de nouvelles formes pharmaceutiques, des procédés de préparations</w:t>
      </w:r>
    </w:p>
    <w:p w:rsidR="000510F4" w:rsidRPr="000510F4" w:rsidRDefault="000510F4" w:rsidP="000510F4">
      <w:pPr>
        <w:bidi w:val="0"/>
        <w:rPr>
          <w:lang w:val="fr-FR" w:bidi="ar-DZ"/>
        </w:rPr>
      </w:pPr>
      <w:proofErr w:type="gramStart"/>
      <w:r w:rsidRPr="000510F4">
        <w:rPr>
          <w:lang w:val="fr-FR" w:bidi="ar-DZ"/>
        </w:rPr>
        <w:t>originaux</w:t>
      </w:r>
      <w:proofErr w:type="gramEnd"/>
      <w:r w:rsidRPr="000510F4">
        <w:rPr>
          <w:lang w:val="fr-FR" w:bidi="ar-DZ"/>
        </w:rPr>
        <w:t xml:space="preserve"> (encapsulation, dispersion solide…) ou par l’emploi d’excipients variés.</w:t>
      </w:r>
    </w:p>
    <w:p w:rsidR="000510F4" w:rsidRPr="000510F4" w:rsidRDefault="000510F4" w:rsidP="000510F4">
      <w:pPr>
        <w:bidi w:val="0"/>
        <w:rPr>
          <w:lang w:val="fr-FR" w:bidi="ar-DZ"/>
        </w:rPr>
      </w:pPr>
      <w:r w:rsidRPr="000510F4">
        <w:rPr>
          <w:lang w:val="fr-FR" w:bidi="ar-DZ"/>
        </w:rPr>
        <w:t xml:space="preserve">Les </w:t>
      </w:r>
      <w:proofErr w:type="spellStart"/>
      <w:r w:rsidRPr="000510F4">
        <w:rPr>
          <w:lang w:val="fr-FR" w:bidi="ar-DZ"/>
        </w:rPr>
        <w:t>cyclodextrines</w:t>
      </w:r>
      <w:proofErr w:type="spellEnd"/>
      <w:r w:rsidRPr="000510F4">
        <w:rPr>
          <w:lang w:val="fr-FR" w:bidi="ar-DZ"/>
        </w:rPr>
        <w:t xml:space="preserve"> (CD) font partie des outils accessibles à la formulation. Ces molécules [1],</w:t>
      </w:r>
    </w:p>
    <w:p w:rsidR="000510F4" w:rsidRPr="000510F4" w:rsidRDefault="000510F4" w:rsidP="000510F4">
      <w:pPr>
        <w:bidi w:val="0"/>
        <w:rPr>
          <w:lang w:val="fr-FR" w:bidi="ar-DZ"/>
        </w:rPr>
      </w:pPr>
      <w:proofErr w:type="gramStart"/>
      <w:r w:rsidRPr="000510F4">
        <w:rPr>
          <w:lang w:val="fr-FR" w:bidi="ar-DZ"/>
        </w:rPr>
        <w:t>constituées</w:t>
      </w:r>
      <w:proofErr w:type="gramEnd"/>
      <w:r w:rsidRPr="000510F4">
        <w:rPr>
          <w:lang w:val="fr-FR" w:bidi="ar-DZ"/>
        </w:rPr>
        <w:t xml:space="preserve"> par l’enchaînement de </w:t>
      </w:r>
      <w:proofErr w:type="spellStart"/>
      <w:r w:rsidRPr="000510F4">
        <w:rPr>
          <w:lang w:val="fr-FR" w:bidi="ar-DZ"/>
        </w:rPr>
        <w:t>glycopyranoses</w:t>
      </w:r>
      <w:proofErr w:type="spellEnd"/>
      <w:r w:rsidRPr="000510F4">
        <w:rPr>
          <w:lang w:val="fr-FR" w:bidi="ar-DZ"/>
        </w:rPr>
        <w:t>, se présentent sous la forme d’un anneau dont le</w:t>
      </w:r>
    </w:p>
    <w:p w:rsidR="000510F4" w:rsidRPr="000510F4" w:rsidRDefault="000510F4" w:rsidP="000510F4">
      <w:pPr>
        <w:bidi w:val="0"/>
        <w:rPr>
          <w:lang w:val="fr-FR" w:bidi="ar-DZ"/>
        </w:rPr>
      </w:pPr>
      <w:proofErr w:type="gramStart"/>
      <w:r w:rsidRPr="000510F4">
        <w:rPr>
          <w:lang w:val="fr-FR" w:bidi="ar-DZ"/>
        </w:rPr>
        <w:t>diamètre</w:t>
      </w:r>
      <w:proofErr w:type="gramEnd"/>
      <w:r w:rsidRPr="000510F4">
        <w:rPr>
          <w:lang w:val="fr-FR" w:bidi="ar-DZ"/>
        </w:rPr>
        <w:t xml:space="preserve"> varie selon le nombre d’unité les composants. Cette structure permet d’accueillir à</w:t>
      </w:r>
    </w:p>
    <w:p w:rsidR="000510F4" w:rsidRPr="000510F4" w:rsidRDefault="000510F4" w:rsidP="000510F4">
      <w:pPr>
        <w:bidi w:val="0"/>
        <w:rPr>
          <w:lang w:val="fr-FR" w:bidi="ar-DZ"/>
        </w:rPr>
      </w:pPr>
      <w:proofErr w:type="gramStart"/>
      <w:r w:rsidRPr="000510F4">
        <w:rPr>
          <w:lang w:val="fr-FR" w:bidi="ar-DZ"/>
        </w:rPr>
        <w:t>l’intérieur</w:t>
      </w:r>
      <w:proofErr w:type="gramEnd"/>
      <w:r w:rsidRPr="000510F4">
        <w:rPr>
          <w:lang w:val="fr-FR" w:bidi="ar-DZ"/>
        </w:rPr>
        <w:t xml:space="preserve"> de sa cavité des substances hydrophobes selon un mécanisme d’inclusion particulier [2].</w:t>
      </w:r>
    </w:p>
    <w:p w:rsidR="000510F4" w:rsidRPr="000510F4" w:rsidRDefault="000510F4" w:rsidP="000510F4">
      <w:pPr>
        <w:bidi w:val="0"/>
        <w:rPr>
          <w:lang w:val="fr-FR" w:bidi="ar-DZ"/>
        </w:rPr>
      </w:pPr>
      <w:r w:rsidRPr="000510F4">
        <w:rPr>
          <w:lang w:val="fr-FR" w:bidi="ar-DZ"/>
        </w:rPr>
        <w:t>L’arrangement des groupements fonctionnels périphériques de la CD confère à la molécule invitée de</w:t>
      </w:r>
    </w:p>
    <w:p w:rsidR="000510F4" w:rsidRPr="000510F4" w:rsidRDefault="000510F4" w:rsidP="000510F4">
      <w:pPr>
        <w:bidi w:val="0"/>
        <w:rPr>
          <w:lang w:val="fr-FR" w:bidi="ar-DZ"/>
        </w:rPr>
      </w:pPr>
      <w:proofErr w:type="gramStart"/>
      <w:r w:rsidRPr="000510F4">
        <w:rPr>
          <w:lang w:val="fr-FR" w:bidi="ar-DZ"/>
        </w:rPr>
        <w:t>nouvelles</w:t>
      </w:r>
      <w:proofErr w:type="gramEnd"/>
      <w:r w:rsidRPr="000510F4">
        <w:rPr>
          <w:lang w:val="fr-FR" w:bidi="ar-DZ"/>
        </w:rPr>
        <w:t xml:space="preserve"> propriétés physico-chimiques lui assurant de multiples applications.</w:t>
      </w:r>
    </w:p>
    <w:p w:rsidR="000510F4" w:rsidRPr="000510F4" w:rsidRDefault="000510F4" w:rsidP="000510F4">
      <w:pPr>
        <w:bidi w:val="0"/>
        <w:rPr>
          <w:lang w:val="fr-FR" w:bidi="ar-DZ"/>
        </w:rPr>
      </w:pPr>
      <w:r w:rsidRPr="000510F4">
        <w:rPr>
          <w:lang w:val="fr-FR" w:bidi="ar-DZ"/>
        </w:rPr>
        <w:t>C’est dans cette optique que nous nous sommes proposé dans le cadre de cette thèse de Magister</w:t>
      </w:r>
    </w:p>
    <w:p w:rsidR="000510F4" w:rsidRPr="000510F4" w:rsidRDefault="000510F4" w:rsidP="000510F4">
      <w:pPr>
        <w:bidi w:val="0"/>
        <w:rPr>
          <w:lang w:val="fr-FR" w:bidi="ar-DZ"/>
        </w:rPr>
      </w:pPr>
      <w:proofErr w:type="gramStart"/>
      <w:r w:rsidRPr="000510F4">
        <w:rPr>
          <w:lang w:val="fr-FR" w:bidi="ar-DZ"/>
        </w:rPr>
        <w:t>d’étudier</w:t>
      </w:r>
      <w:proofErr w:type="gramEnd"/>
      <w:r w:rsidRPr="000510F4">
        <w:rPr>
          <w:lang w:val="fr-FR" w:bidi="ar-DZ"/>
        </w:rPr>
        <w:t xml:space="preserve"> l’inclusion du </w:t>
      </w:r>
      <w:proofErr w:type="spellStart"/>
      <w:r w:rsidRPr="000510F4">
        <w:rPr>
          <w:lang w:val="fr-FR" w:bidi="ar-DZ"/>
        </w:rPr>
        <w:t>piroxicam</w:t>
      </w:r>
      <w:proofErr w:type="spellEnd"/>
      <w:r w:rsidRPr="000510F4">
        <w:rPr>
          <w:lang w:val="fr-FR" w:bidi="ar-DZ"/>
        </w:rPr>
        <w:t xml:space="preserve"> (PRX), un anti-inflammatoire non stéroïdien (AINS) pratiquement</w:t>
      </w:r>
    </w:p>
    <w:p w:rsidR="000510F4" w:rsidRPr="000510F4" w:rsidRDefault="000510F4" w:rsidP="000510F4">
      <w:pPr>
        <w:bidi w:val="0"/>
        <w:rPr>
          <w:lang w:val="fr-FR" w:bidi="ar-DZ"/>
        </w:rPr>
      </w:pPr>
      <w:proofErr w:type="gramStart"/>
      <w:r w:rsidRPr="000510F4">
        <w:rPr>
          <w:lang w:val="fr-FR" w:bidi="ar-DZ"/>
        </w:rPr>
        <w:t>insoluble</w:t>
      </w:r>
      <w:proofErr w:type="gramEnd"/>
      <w:r w:rsidRPr="000510F4">
        <w:rPr>
          <w:lang w:val="fr-FR" w:bidi="ar-DZ"/>
        </w:rPr>
        <w:t xml:space="preserve"> en milieu aqueux, à la </w:t>
      </w:r>
      <w:proofErr w:type="spellStart"/>
      <w:r w:rsidRPr="000510F4">
        <w:rPr>
          <w:lang w:val="fr-FR" w:bidi="ar-DZ"/>
        </w:rPr>
        <w:t>cyclodextrine</w:t>
      </w:r>
      <w:proofErr w:type="spellEnd"/>
      <w:r w:rsidRPr="000510F4">
        <w:rPr>
          <w:lang w:val="fr-FR" w:bidi="ar-DZ"/>
        </w:rPr>
        <w:t xml:space="preserve"> (CD), selon le plan suivant :</w:t>
      </w:r>
    </w:p>
    <w:p w:rsidR="000510F4" w:rsidRPr="000510F4" w:rsidRDefault="000510F4" w:rsidP="000510F4">
      <w:pPr>
        <w:bidi w:val="0"/>
        <w:rPr>
          <w:lang w:val="fr-FR" w:bidi="ar-DZ"/>
        </w:rPr>
      </w:pPr>
      <w:r w:rsidRPr="000510F4">
        <w:rPr>
          <w:lang w:val="fr-FR" w:bidi="ar-DZ"/>
        </w:rPr>
        <w:t xml:space="preserve">Dans le premier chapitre, nous présentons les propriétés principales des </w:t>
      </w:r>
      <w:proofErr w:type="spellStart"/>
      <w:r w:rsidRPr="000510F4">
        <w:rPr>
          <w:lang w:val="fr-FR" w:bidi="ar-DZ"/>
        </w:rPr>
        <w:t>cyclodextrines</w:t>
      </w:r>
      <w:proofErr w:type="spellEnd"/>
      <w:r w:rsidRPr="000510F4">
        <w:rPr>
          <w:lang w:val="fr-FR" w:bidi="ar-DZ"/>
        </w:rPr>
        <w:t xml:space="preserve"> et un bref</w:t>
      </w:r>
    </w:p>
    <w:p w:rsidR="000510F4" w:rsidRPr="000510F4" w:rsidRDefault="000510F4" w:rsidP="000510F4">
      <w:pPr>
        <w:bidi w:val="0"/>
        <w:rPr>
          <w:lang w:val="fr-FR" w:bidi="ar-DZ"/>
        </w:rPr>
      </w:pPr>
      <w:proofErr w:type="gramStart"/>
      <w:r w:rsidRPr="000510F4">
        <w:rPr>
          <w:lang w:val="fr-FR" w:bidi="ar-DZ"/>
        </w:rPr>
        <w:t>exposé</w:t>
      </w:r>
      <w:proofErr w:type="gramEnd"/>
      <w:r w:rsidRPr="000510F4">
        <w:rPr>
          <w:lang w:val="fr-FR" w:bidi="ar-DZ"/>
        </w:rPr>
        <w:t xml:space="preserve"> des anti-inflammatoires non stéroïdien (AINS).</w:t>
      </w:r>
    </w:p>
    <w:p w:rsidR="000510F4" w:rsidRPr="000510F4" w:rsidRDefault="000510F4" w:rsidP="000510F4">
      <w:pPr>
        <w:bidi w:val="0"/>
        <w:rPr>
          <w:lang w:val="fr-FR" w:bidi="ar-DZ"/>
        </w:rPr>
      </w:pPr>
      <w:r w:rsidRPr="000510F4">
        <w:rPr>
          <w:lang w:val="fr-FR" w:bidi="ar-DZ"/>
        </w:rPr>
        <w:t>Dans le deuxième chapitre, nous abordons les complexes d’inclusion, les principales méthodes</w:t>
      </w:r>
    </w:p>
    <w:p w:rsidR="000510F4" w:rsidRPr="000510F4" w:rsidRDefault="000510F4" w:rsidP="000510F4">
      <w:pPr>
        <w:bidi w:val="0"/>
        <w:rPr>
          <w:lang w:val="fr-FR" w:bidi="ar-DZ"/>
        </w:rPr>
      </w:pPr>
      <w:proofErr w:type="gramStart"/>
      <w:r w:rsidRPr="000510F4">
        <w:rPr>
          <w:lang w:val="fr-FR" w:bidi="ar-DZ"/>
        </w:rPr>
        <w:t>d’inclusion</w:t>
      </w:r>
      <w:proofErr w:type="gramEnd"/>
      <w:r w:rsidRPr="000510F4">
        <w:rPr>
          <w:lang w:val="fr-FR" w:bidi="ar-DZ"/>
        </w:rPr>
        <w:t>, la méthode de solubilisation selon HIGUCHI CONNORS ainsi que les principales</w:t>
      </w:r>
    </w:p>
    <w:p w:rsidR="000510F4" w:rsidRPr="000510F4" w:rsidRDefault="000510F4" w:rsidP="000510F4">
      <w:pPr>
        <w:bidi w:val="0"/>
        <w:rPr>
          <w:lang w:val="fr-FR" w:bidi="ar-DZ"/>
        </w:rPr>
      </w:pPr>
      <w:proofErr w:type="gramStart"/>
      <w:r w:rsidRPr="000510F4">
        <w:rPr>
          <w:lang w:val="fr-FR" w:bidi="ar-DZ"/>
        </w:rPr>
        <w:t>méthodes</w:t>
      </w:r>
      <w:proofErr w:type="gramEnd"/>
      <w:r w:rsidRPr="000510F4">
        <w:rPr>
          <w:lang w:val="fr-FR" w:bidi="ar-DZ"/>
        </w:rPr>
        <w:t xml:space="preserve"> physiques d’analyses des complexes d’inclusion.</w:t>
      </w:r>
    </w:p>
    <w:p w:rsidR="000510F4" w:rsidRPr="000510F4" w:rsidRDefault="000510F4" w:rsidP="000510F4">
      <w:pPr>
        <w:bidi w:val="0"/>
        <w:rPr>
          <w:lang w:val="fr-FR" w:bidi="ar-DZ"/>
        </w:rPr>
      </w:pPr>
      <w:r w:rsidRPr="000510F4">
        <w:rPr>
          <w:lang w:val="fr-FR" w:bidi="ar-DZ"/>
        </w:rPr>
        <w:t>Dans la partie expérimentale et à travers le troisième chapitre, on procède à :</w:t>
      </w:r>
    </w:p>
    <w:p w:rsidR="000510F4" w:rsidRPr="000510F4" w:rsidRDefault="000510F4" w:rsidP="000510F4">
      <w:pPr>
        <w:bidi w:val="0"/>
        <w:rPr>
          <w:lang w:val="fr-FR" w:bidi="ar-DZ"/>
        </w:rPr>
      </w:pPr>
      <w:r w:rsidRPr="000510F4">
        <w:rPr>
          <w:lang w:val="fr-FR" w:bidi="ar-DZ"/>
        </w:rPr>
        <w:t>1- La préparation des complexes d’inclusion par différents procédés</w:t>
      </w:r>
    </w:p>
    <w:p w:rsidR="000510F4" w:rsidRPr="000510F4" w:rsidRDefault="000510F4" w:rsidP="000510F4">
      <w:pPr>
        <w:bidi w:val="0"/>
        <w:rPr>
          <w:lang w:val="fr-FR" w:bidi="ar-DZ"/>
        </w:rPr>
      </w:pPr>
      <w:r w:rsidRPr="000510F4">
        <w:rPr>
          <w:lang w:val="fr-FR" w:bidi="ar-DZ"/>
        </w:rPr>
        <w:lastRenderedPageBreak/>
        <w:t xml:space="preserve">2- L’étude de la solubilité et diagramme de solubilité selon </w:t>
      </w:r>
      <w:proofErr w:type="spellStart"/>
      <w:r w:rsidRPr="000510F4">
        <w:rPr>
          <w:lang w:val="fr-FR" w:bidi="ar-DZ"/>
        </w:rPr>
        <w:t>Higuchi</w:t>
      </w:r>
      <w:proofErr w:type="spellEnd"/>
      <w:r w:rsidRPr="000510F4">
        <w:rPr>
          <w:lang w:val="fr-FR" w:bidi="ar-DZ"/>
        </w:rPr>
        <w:t xml:space="preserve"> et Connors</w:t>
      </w:r>
    </w:p>
    <w:p w:rsidR="000510F4" w:rsidRPr="000510F4" w:rsidRDefault="000510F4" w:rsidP="000510F4">
      <w:pPr>
        <w:bidi w:val="0"/>
        <w:rPr>
          <w:lang w:val="fr-FR" w:bidi="ar-DZ"/>
        </w:rPr>
      </w:pPr>
      <w:r w:rsidRPr="000510F4">
        <w:rPr>
          <w:lang w:val="fr-FR" w:bidi="ar-DZ"/>
        </w:rPr>
        <w:t xml:space="preserve">3- La caractérisation physico-chimique des complexes d’inclusion obtenus par </w:t>
      </w:r>
      <w:proofErr w:type="spellStart"/>
      <w:r w:rsidRPr="000510F4">
        <w:rPr>
          <w:lang w:val="fr-FR" w:bidi="ar-DZ"/>
        </w:rPr>
        <w:t>co</w:t>
      </w:r>
      <w:proofErr w:type="spellEnd"/>
      <w:r w:rsidRPr="000510F4">
        <w:rPr>
          <w:lang w:val="fr-FR" w:bidi="ar-DZ"/>
        </w:rPr>
        <w:t>-évaporation</w:t>
      </w:r>
    </w:p>
    <w:p w:rsidR="000510F4" w:rsidRPr="000510F4" w:rsidRDefault="000510F4" w:rsidP="000510F4">
      <w:pPr>
        <w:bidi w:val="0"/>
        <w:rPr>
          <w:lang w:val="fr-FR" w:bidi="ar-DZ"/>
        </w:rPr>
      </w:pPr>
      <w:proofErr w:type="gramStart"/>
      <w:r w:rsidRPr="000510F4">
        <w:rPr>
          <w:lang w:val="fr-FR" w:bidi="ar-DZ"/>
        </w:rPr>
        <w:t>par</w:t>
      </w:r>
      <w:proofErr w:type="gramEnd"/>
      <w:r w:rsidRPr="000510F4">
        <w:rPr>
          <w:lang w:val="fr-FR" w:bidi="ar-DZ"/>
        </w:rPr>
        <w:t xml:space="preserve"> DSC, RMN et RX.</w:t>
      </w:r>
    </w:p>
    <w:p w:rsidR="000510F4" w:rsidRPr="000510F4" w:rsidRDefault="000510F4" w:rsidP="000510F4">
      <w:pPr>
        <w:bidi w:val="0"/>
        <w:rPr>
          <w:lang w:val="fr-FR" w:bidi="ar-DZ"/>
        </w:rPr>
      </w:pPr>
      <w:r w:rsidRPr="000510F4">
        <w:rPr>
          <w:lang w:val="fr-FR" w:bidi="ar-DZ"/>
        </w:rPr>
        <w:t>4- L’étude de la biodisponibilité in vitro des complexes d’inclusion obtenus par malaxage (test</w:t>
      </w:r>
    </w:p>
    <w:p w:rsidR="000510F4" w:rsidRPr="000510F4" w:rsidRDefault="000510F4" w:rsidP="000510F4">
      <w:pPr>
        <w:bidi w:val="0"/>
        <w:rPr>
          <w:lang w:val="fr-FR" w:bidi="ar-DZ"/>
        </w:rPr>
      </w:pPr>
      <w:proofErr w:type="gramStart"/>
      <w:r w:rsidRPr="000510F4">
        <w:rPr>
          <w:lang w:val="fr-FR" w:bidi="ar-DZ"/>
        </w:rPr>
        <w:t>de</w:t>
      </w:r>
      <w:proofErr w:type="gramEnd"/>
      <w:r w:rsidRPr="000510F4">
        <w:rPr>
          <w:lang w:val="fr-FR" w:bidi="ar-DZ"/>
        </w:rPr>
        <w:t xml:space="preserve"> dissolution)</w:t>
      </w:r>
    </w:p>
    <w:p w:rsidR="000510F4" w:rsidRPr="000510F4" w:rsidRDefault="000510F4" w:rsidP="000510F4">
      <w:pPr>
        <w:bidi w:val="0"/>
        <w:rPr>
          <w:lang w:val="fr-FR" w:bidi="ar-DZ"/>
        </w:rPr>
      </w:pPr>
      <w:r w:rsidRPr="000510F4">
        <w:rPr>
          <w:lang w:val="fr-FR" w:bidi="ar-DZ"/>
        </w:rPr>
        <w:t xml:space="preserve">5- L’étude comparative de la biodisponibilité in vivo du complexe d’inclusion obtenu par </w:t>
      </w:r>
      <w:proofErr w:type="spellStart"/>
      <w:r w:rsidRPr="000510F4">
        <w:rPr>
          <w:lang w:val="fr-FR" w:bidi="ar-DZ"/>
        </w:rPr>
        <w:t>coévaporation</w:t>
      </w:r>
      <w:proofErr w:type="spellEnd"/>
    </w:p>
    <w:p w:rsidR="000510F4" w:rsidRPr="000510F4" w:rsidRDefault="000510F4" w:rsidP="000510F4">
      <w:pPr>
        <w:bidi w:val="0"/>
        <w:rPr>
          <w:lang w:val="fr-FR" w:bidi="ar-DZ"/>
        </w:rPr>
      </w:pPr>
      <w:proofErr w:type="gramStart"/>
      <w:r w:rsidRPr="000510F4">
        <w:rPr>
          <w:lang w:val="fr-FR" w:bidi="ar-DZ"/>
        </w:rPr>
        <w:t>au</w:t>
      </w:r>
      <w:proofErr w:type="gramEnd"/>
      <w:r w:rsidRPr="000510F4">
        <w:rPr>
          <w:lang w:val="fr-FR" w:bidi="ar-DZ"/>
        </w:rPr>
        <w:t xml:space="preserve"> CYCLADOL comprimé à 20mg</w:t>
      </w:r>
    </w:p>
    <w:p w:rsidR="000510F4" w:rsidRPr="000510F4" w:rsidRDefault="000510F4" w:rsidP="000510F4">
      <w:pPr>
        <w:bidi w:val="0"/>
        <w:rPr>
          <w:lang w:val="fr-FR" w:bidi="ar-DZ"/>
        </w:rPr>
      </w:pPr>
      <w:r w:rsidRPr="000510F4">
        <w:rPr>
          <w:lang w:val="fr-FR" w:bidi="ar-DZ"/>
        </w:rPr>
        <w:t>En conclusion, après interprétation des résultats obtenus à l’issu de chaque étape et leur comparaison</w:t>
      </w:r>
    </w:p>
    <w:p w:rsidR="000510F4" w:rsidRPr="000510F4" w:rsidRDefault="000510F4" w:rsidP="000510F4">
      <w:pPr>
        <w:bidi w:val="0"/>
        <w:rPr>
          <w:lang w:val="fr-FR" w:bidi="ar-DZ"/>
        </w:rPr>
      </w:pPr>
      <w:proofErr w:type="gramStart"/>
      <w:r w:rsidRPr="000510F4">
        <w:rPr>
          <w:lang w:val="fr-FR" w:bidi="ar-DZ"/>
        </w:rPr>
        <w:t>avec</w:t>
      </w:r>
      <w:proofErr w:type="gramEnd"/>
      <w:r w:rsidRPr="000510F4">
        <w:rPr>
          <w:lang w:val="fr-FR" w:bidi="ar-DZ"/>
        </w:rPr>
        <w:t xml:space="preserve"> les données bibliographiques, on conclue que l’inclusion du </w:t>
      </w:r>
      <w:proofErr w:type="spellStart"/>
      <w:r w:rsidRPr="000510F4">
        <w:rPr>
          <w:lang w:val="fr-FR" w:bidi="ar-DZ"/>
        </w:rPr>
        <w:t>piroxicam</w:t>
      </w:r>
      <w:proofErr w:type="spellEnd"/>
      <w:r w:rsidRPr="000510F4">
        <w:rPr>
          <w:lang w:val="fr-FR" w:bidi="ar-DZ"/>
        </w:rPr>
        <w:t xml:space="preserve"> à la CD augmente</w:t>
      </w:r>
    </w:p>
    <w:p w:rsidR="000510F4" w:rsidRPr="000510F4" w:rsidRDefault="000510F4" w:rsidP="000510F4">
      <w:pPr>
        <w:bidi w:val="0"/>
        <w:rPr>
          <w:lang w:val="fr-FR" w:bidi="ar-DZ"/>
        </w:rPr>
      </w:pPr>
      <w:proofErr w:type="gramStart"/>
      <w:r w:rsidRPr="000510F4">
        <w:rPr>
          <w:lang w:val="fr-FR" w:bidi="ar-DZ"/>
        </w:rPr>
        <w:t>significativement</w:t>
      </w:r>
      <w:proofErr w:type="gramEnd"/>
      <w:r w:rsidRPr="000510F4">
        <w:rPr>
          <w:lang w:val="fr-FR" w:bidi="ar-DZ"/>
        </w:rPr>
        <w:t xml:space="preserve"> sa solubilité en milieu aqueux et par conséquent sa biodisponibilité en milieu</w:t>
      </w:r>
    </w:p>
    <w:p w:rsidR="00F61075" w:rsidRPr="000510F4" w:rsidRDefault="000510F4" w:rsidP="000510F4">
      <w:pPr>
        <w:bidi w:val="0"/>
        <w:rPr>
          <w:rFonts w:hint="cs"/>
          <w:lang w:val="fr-FR" w:bidi="ar-DZ"/>
        </w:rPr>
      </w:pPr>
      <w:proofErr w:type="gramStart"/>
      <w:r w:rsidRPr="000510F4">
        <w:rPr>
          <w:lang w:val="fr-FR" w:bidi="ar-DZ"/>
        </w:rPr>
        <w:t>biologique</w:t>
      </w:r>
      <w:proofErr w:type="gramEnd"/>
      <w:r w:rsidRPr="000510F4">
        <w:rPr>
          <w:lang w:val="fr-FR" w:bidi="ar-DZ"/>
        </w:rPr>
        <w:t xml:space="preserve"> garantissant ainsi un meilleur effet thérapeutique.</w:t>
      </w:r>
    </w:p>
    <w:sectPr w:rsidR="00F61075" w:rsidRPr="000510F4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510F4"/>
    <w:rsid w:val="000510F4"/>
    <w:rsid w:val="005F47AF"/>
    <w:rsid w:val="00F610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1075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394</Words>
  <Characters>2251</Characters>
  <Application>Microsoft Office Word</Application>
  <DocSecurity>0</DocSecurity>
  <Lines>18</Lines>
  <Paragraphs>5</Paragraphs>
  <ScaleCrop>false</ScaleCrop>
  <Company/>
  <LinksUpToDate>false</LinksUpToDate>
  <CharactersWithSpaces>2640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2015-10-28T14:25:00Z</dcterms:created>
  <dcterms:modified xsi:type="dcterms:W3CDTF">2015-10-28T14:26:00Z</dcterms:modified>
</cp:coreProperties>
</file>