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6C8" w:rsidRPr="00616843" w:rsidRDefault="004206C8" w:rsidP="004206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Helvetica" w:hAnsi="Helvetica" w:cs="Arial"/>
          <w:b/>
          <w:bCs/>
          <w:sz w:val="26"/>
          <w:szCs w:val="26"/>
          <w:lang w:bidi="ar-SA"/>
        </w:rPr>
      </w:pPr>
      <w:r w:rsidRPr="00616843">
        <w:rPr>
          <w:rFonts w:ascii="Helvetica" w:hAnsi="Helvetica" w:cs="Arial"/>
          <w:b/>
          <w:bCs/>
          <w:sz w:val="26"/>
          <w:szCs w:val="26"/>
          <w:lang w:bidi="ar-SA"/>
        </w:rPr>
        <w:t xml:space="preserve">Diversité métamorphiques des Gour </w:t>
      </w:r>
      <w:proofErr w:type="spellStart"/>
      <w:r w:rsidRPr="00616843">
        <w:rPr>
          <w:rFonts w:ascii="Helvetica" w:hAnsi="Helvetica" w:cs="Arial"/>
          <w:b/>
          <w:bCs/>
          <w:sz w:val="26"/>
          <w:szCs w:val="26"/>
          <w:lang w:bidi="ar-SA"/>
        </w:rPr>
        <w:t>Oumelalen</w:t>
      </w:r>
      <w:proofErr w:type="spellEnd"/>
      <w:r w:rsidRPr="00616843">
        <w:rPr>
          <w:rFonts w:ascii="Helvetica" w:hAnsi="Helvetica" w:cs="Arial"/>
          <w:b/>
          <w:bCs/>
          <w:sz w:val="26"/>
          <w:szCs w:val="26"/>
          <w:lang w:bidi="ar-SA"/>
        </w:rPr>
        <w:t xml:space="preserve"> NE Hoggar*.</w:t>
      </w:r>
    </w:p>
    <w:p w:rsidR="004206C8" w:rsidRPr="00616843" w:rsidRDefault="004206C8" w:rsidP="004206C8">
      <w:pPr>
        <w:autoSpaceDE w:val="0"/>
        <w:autoSpaceDN w:val="0"/>
        <w:adjustRightInd w:val="0"/>
        <w:jc w:val="center"/>
        <w:rPr>
          <w:rFonts w:ascii="Helvetica" w:hAnsi="Helvetica" w:cs="Arial"/>
          <w:b/>
          <w:bCs/>
          <w:sz w:val="26"/>
          <w:szCs w:val="26"/>
          <w:lang w:bidi="ar-SA"/>
        </w:rPr>
      </w:pPr>
    </w:p>
    <w:p w:rsidR="004206C8" w:rsidRPr="00616843" w:rsidRDefault="004206C8" w:rsidP="004206C8">
      <w:pPr>
        <w:autoSpaceDE w:val="0"/>
        <w:autoSpaceDN w:val="0"/>
        <w:adjustRightInd w:val="0"/>
        <w:rPr>
          <w:rFonts w:ascii="Helvetica" w:hAnsi="Helvetica" w:cs="Arial"/>
          <w:b/>
          <w:bCs/>
          <w:sz w:val="26"/>
          <w:szCs w:val="26"/>
          <w:lang w:bidi="ar-SA"/>
        </w:rPr>
      </w:pPr>
    </w:p>
    <w:p w:rsidR="004206C8" w:rsidRPr="00616843" w:rsidRDefault="004206C8" w:rsidP="004206C8">
      <w:pPr>
        <w:autoSpaceDE w:val="0"/>
        <w:autoSpaceDN w:val="0"/>
        <w:adjustRightInd w:val="0"/>
        <w:jc w:val="center"/>
        <w:rPr>
          <w:rFonts w:ascii="Helvetica" w:hAnsi="Helvetica" w:cs="Arial"/>
          <w:lang w:bidi="ar-SA"/>
        </w:rPr>
      </w:pPr>
      <w:r w:rsidRPr="00616843">
        <w:rPr>
          <w:rFonts w:ascii="Helvetica" w:hAnsi="Helvetica" w:cs="Arial"/>
          <w:bdr w:val="single" w:sz="4" w:space="0" w:color="auto"/>
          <w:lang w:bidi="ar-SA"/>
        </w:rPr>
        <w:t>Présenté par Nadia BOUREGHDA</w:t>
      </w:r>
      <w:r w:rsidRPr="00616843">
        <w:rPr>
          <w:rFonts w:ascii="Helvetica" w:hAnsi="Helvetica" w:cs="Arial"/>
          <w:lang w:bidi="ar-SA"/>
        </w:rPr>
        <w:t>*</w:t>
      </w:r>
    </w:p>
    <w:p w:rsidR="004206C8" w:rsidRPr="00616843" w:rsidRDefault="004206C8" w:rsidP="004206C8">
      <w:pPr>
        <w:autoSpaceDE w:val="0"/>
        <w:autoSpaceDN w:val="0"/>
        <w:adjustRightInd w:val="0"/>
        <w:jc w:val="center"/>
        <w:rPr>
          <w:rFonts w:ascii="Helvetica" w:hAnsi="Helvetica" w:cs="Arial"/>
          <w:lang w:bidi="ar-SA"/>
        </w:rPr>
      </w:pPr>
    </w:p>
    <w:p w:rsidR="004206C8" w:rsidRPr="00616843" w:rsidRDefault="004206C8" w:rsidP="004206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Helvetica" w:hAnsi="Helvetica" w:cs="Arial"/>
          <w:sz w:val="32"/>
          <w:szCs w:val="32"/>
          <w:lang w:bidi="ar-SA"/>
        </w:rPr>
      </w:pPr>
      <w:r w:rsidRPr="00616843">
        <w:rPr>
          <w:rFonts w:ascii="Helvetica" w:hAnsi="Helvetica" w:cs="Arial"/>
          <w:lang w:bidi="ar-SA"/>
        </w:rPr>
        <w:t xml:space="preserve">Faculté des Sciences de </w:t>
      </w:r>
      <w:smartTag w:uri="urn:schemas-microsoft-com:office:smarttags" w:element="PersonName">
        <w:smartTagPr>
          <w:attr w:name="ProductID" w:val="la Terre"/>
        </w:smartTagPr>
        <w:r w:rsidRPr="00616843">
          <w:rPr>
            <w:rFonts w:ascii="Helvetica" w:hAnsi="Helvetica" w:cs="Arial"/>
            <w:lang w:bidi="ar-SA"/>
          </w:rPr>
          <w:t>la Terre</w:t>
        </w:r>
      </w:smartTag>
      <w:r w:rsidRPr="00616843">
        <w:rPr>
          <w:rFonts w:ascii="Helvetica" w:hAnsi="Helvetica" w:cs="Arial"/>
          <w:lang w:bidi="ar-SA"/>
        </w:rPr>
        <w:t xml:space="preserve"> de Géographie et de l'Aménagement du Territoire, </w:t>
      </w:r>
      <w:r w:rsidRPr="00616843">
        <w:rPr>
          <w:rFonts w:ascii="Helvetica" w:hAnsi="Helvetica" w:cs="Arial"/>
          <w:sz w:val="32"/>
          <w:szCs w:val="32"/>
          <w:lang w:bidi="ar-SA"/>
        </w:rPr>
        <w:t>USTHB</w:t>
      </w:r>
    </w:p>
    <w:p w:rsidR="004206C8" w:rsidRPr="00616843" w:rsidRDefault="004206C8" w:rsidP="004206C8">
      <w:pPr>
        <w:autoSpaceDE w:val="0"/>
        <w:autoSpaceDN w:val="0"/>
        <w:adjustRightInd w:val="0"/>
        <w:rPr>
          <w:rFonts w:ascii="Helvetica" w:hAnsi="Helvetica" w:cs="Arial"/>
          <w:b/>
          <w:bCs/>
          <w:lang w:bidi="ar-SA"/>
        </w:rPr>
      </w:pPr>
    </w:p>
    <w:p w:rsidR="004206C8" w:rsidRPr="0029686D" w:rsidRDefault="004206C8" w:rsidP="004206C8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Helvetica" w:hAnsi="Helvetica"/>
          <w:color w:val="000000"/>
        </w:rPr>
      </w:pPr>
      <w:r w:rsidRPr="009A46F3">
        <w:rPr>
          <w:rFonts w:ascii="Helvetica" w:hAnsi="Helvetica" w:cs="Arial"/>
          <w:bCs/>
          <w:lang w:bidi="ar-SA"/>
        </w:rPr>
        <w:t>Résumé :</w:t>
      </w:r>
      <w:r w:rsidRPr="009A46F3">
        <w:rPr>
          <w:rFonts w:ascii="Helvetica" w:hAnsi="Helvetica"/>
          <w:bCs/>
        </w:rPr>
        <w:t xml:space="preserve"> </w:t>
      </w:r>
      <w:r>
        <w:rPr>
          <w:rFonts w:ascii="Helvetica" w:hAnsi="Helvetica"/>
          <w:bCs/>
        </w:rPr>
        <w:t>la région des</w:t>
      </w:r>
      <w:r w:rsidRPr="009A46F3">
        <w:rPr>
          <w:rFonts w:ascii="Helvetica" w:hAnsi="Helvetica"/>
          <w:bCs/>
        </w:rPr>
        <w:t xml:space="preserve"> Gour </w:t>
      </w:r>
      <w:proofErr w:type="spellStart"/>
      <w:r w:rsidRPr="009A46F3">
        <w:rPr>
          <w:rFonts w:ascii="Helvetica" w:hAnsi="Helvetica"/>
          <w:bCs/>
        </w:rPr>
        <w:t>Oumelalen</w:t>
      </w:r>
      <w:proofErr w:type="spellEnd"/>
      <w:r w:rsidRPr="009A46F3">
        <w:rPr>
          <w:rFonts w:ascii="Helvetica" w:hAnsi="Helvetica"/>
          <w:bCs/>
        </w:rPr>
        <w:t xml:space="preserve"> est située au N</w:t>
      </w:r>
      <w:r>
        <w:rPr>
          <w:rFonts w:ascii="Helvetica" w:hAnsi="Helvetica"/>
          <w:bCs/>
        </w:rPr>
        <w:t xml:space="preserve">E du </w:t>
      </w:r>
      <w:proofErr w:type="spellStart"/>
      <w:r>
        <w:rPr>
          <w:rFonts w:ascii="Helvetica" w:hAnsi="Helvetica"/>
          <w:bCs/>
        </w:rPr>
        <w:t>terrane</w:t>
      </w:r>
      <w:proofErr w:type="spellEnd"/>
      <w:r>
        <w:rPr>
          <w:rFonts w:ascii="Helvetica" w:hAnsi="Helvetica"/>
          <w:bCs/>
        </w:rPr>
        <w:t xml:space="preserve"> de l’</w:t>
      </w:r>
      <w:proofErr w:type="spellStart"/>
      <w:r>
        <w:rPr>
          <w:rFonts w:ascii="Helvetica" w:hAnsi="Helvetica"/>
          <w:bCs/>
        </w:rPr>
        <w:t>Egéré</w:t>
      </w:r>
      <w:proofErr w:type="spellEnd"/>
      <w:r>
        <w:rPr>
          <w:rFonts w:ascii="Helvetica" w:hAnsi="Helvetica"/>
          <w:bCs/>
        </w:rPr>
        <w:t>-</w:t>
      </w:r>
      <w:proofErr w:type="spellStart"/>
      <w:r>
        <w:rPr>
          <w:rFonts w:ascii="Helvetica" w:hAnsi="Helvetica"/>
          <w:bCs/>
        </w:rPr>
        <w:t>Aleksod</w:t>
      </w:r>
      <w:proofErr w:type="spellEnd"/>
      <w:r>
        <w:rPr>
          <w:rFonts w:ascii="Helvetica" w:hAnsi="Helvetica"/>
          <w:bCs/>
        </w:rPr>
        <w:t xml:space="preserve">. </w:t>
      </w:r>
      <w:proofErr w:type="gramStart"/>
      <w:r>
        <w:rPr>
          <w:rFonts w:ascii="Helvetica" w:hAnsi="Helvetica"/>
          <w:bCs/>
        </w:rPr>
        <w:t>comprend</w:t>
      </w:r>
      <w:proofErr w:type="gramEnd"/>
      <w:r w:rsidRPr="009A46F3">
        <w:rPr>
          <w:rFonts w:ascii="Helvetica" w:hAnsi="Helvetica"/>
          <w:bCs/>
        </w:rPr>
        <w:t xml:space="preserve"> trois formation</w:t>
      </w:r>
      <w:r>
        <w:rPr>
          <w:rFonts w:ascii="Helvetica" w:hAnsi="Helvetica"/>
          <w:bCs/>
        </w:rPr>
        <w:t>s</w:t>
      </w:r>
      <w:r w:rsidRPr="009A46F3">
        <w:rPr>
          <w:rFonts w:ascii="Helvetica" w:hAnsi="Helvetica"/>
          <w:bCs/>
        </w:rPr>
        <w:t xml:space="preserve"> principale</w:t>
      </w:r>
      <w:r>
        <w:rPr>
          <w:rFonts w:ascii="Helvetica" w:hAnsi="Helvetica"/>
          <w:bCs/>
        </w:rPr>
        <w:t xml:space="preserve">s : Le complexe granulitique des gneiss rouge (Archéen), le </w:t>
      </w:r>
      <w:proofErr w:type="spellStart"/>
      <w:r>
        <w:rPr>
          <w:rFonts w:ascii="Helvetica" w:hAnsi="Helvetica"/>
          <w:bCs/>
        </w:rPr>
        <w:t>supergroupe</w:t>
      </w:r>
      <w:proofErr w:type="spellEnd"/>
      <w:r>
        <w:rPr>
          <w:rFonts w:ascii="Helvetica" w:hAnsi="Helvetica"/>
          <w:bCs/>
        </w:rPr>
        <w:t xml:space="preserve"> granulitique des Gour </w:t>
      </w:r>
      <w:proofErr w:type="spellStart"/>
      <w:r>
        <w:rPr>
          <w:rFonts w:ascii="Helvetica" w:hAnsi="Helvetica"/>
          <w:bCs/>
        </w:rPr>
        <w:t>Oumelalen</w:t>
      </w:r>
      <w:proofErr w:type="spellEnd"/>
      <w:r>
        <w:rPr>
          <w:rFonts w:ascii="Helvetica" w:hAnsi="Helvetica"/>
          <w:bCs/>
        </w:rPr>
        <w:t xml:space="preserve"> (</w:t>
      </w:r>
      <w:proofErr w:type="spellStart"/>
      <w:r>
        <w:rPr>
          <w:rFonts w:ascii="Helvetica" w:hAnsi="Helvetica"/>
          <w:bCs/>
        </w:rPr>
        <w:t>Paléoprotérozîque</w:t>
      </w:r>
      <w:proofErr w:type="spellEnd"/>
      <w:r>
        <w:rPr>
          <w:rFonts w:ascii="Helvetica" w:hAnsi="Helvetica"/>
          <w:bCs/>
        </w:rPr>
        <w:t xml:space="preserve">) et le groupe de faciès amphibolite de </w:t>
      </w:r>
      <w:proofErr w:type="spellStart"/>
      <w:r>
        <w:rPr>
          <w:rFonts w:ascii="Helvetica" w:hAnsi="Helvetica"/>
          <w:bCs/>
        </w:rPr>
        <w:t>Toukmatine</w:t>
      </w:r>
      <w:proofErr w:type="spellEnd"/>
      <w:r>
        <w:rPr>
          <w:rFonts w:ascii="Helvetica" w:hAnsi="Helvetica"/>
          <w:bCs/>
        </w:rPr>
        <w:t xml:space="preserve"> (</w:t>
      </w:r>
      <w:proofErr w:type="spellStart"/>
      <w:r>
        <w:rPr>
          <w:rFonts w:ascii="Helvetica" w:hAnsi="Helvetica"/>
          <w:bCs/>
        </w:rPr>
        <w:t>Néoprotérozoîque</w:t>
      </w:r>
      <w:proofErr w:type="spellEnd"/>
      <w:r w:rsidRPr="00843113">
        <w:rPr>
          <w:rFonts w:ascii="Helvetica" w:hAnsi="Helvetica"/>
          <w:bCs/>
        </w:rPr>
        <w:t>).</w:t>
      </w:r>
      <w:r w:rsidRPr="00843113">
        <w:rPr>
          <w:rFonts w:ascii="Helvetica" w:hAnsi="Helvetica"/>
          <w:color w:val="000000"/>
        </w:rPr>
        <w:t xml:space="preserve"> </w:t>
      </w:r>
      <w:r>
        <w:rPr>
          <w:rFonts w:ascii="Helvetica" w:hAnsi="Helvetica"/>
          <w:color w:val="000000"/>
        </w:rPr>
        <w:t xml:space="preserve">Le groupe des Gour </w:t>
      </w:r>
      <w:proofErr w:type="spellStart"/>
      <w:r>
        <w:rPr>
          <w:rFonts w:ascii="Helvetica" w:hAnsi="Helvetica"/>
          <w:color w:val="000000"/>
        </w:rPr>
        <w:t>Oumelalen</w:t>
      </w:r>
      <w:proofErr w:type="spellEnd"/>
      <w:r>
        <w:rPr>
          <w:rFonts w:ascii="Helvetica" w:hAnsi="Helvetica"/>
          <w:color w:val="000000"/>
        </w:rPr>
        <w:t xml:space="preserve"> au Nord est formé d’une série litée </w:t>
      </w:r>
      <w:proofErr w:type="spellStart"/>
      <w:r>
        <w:rPr>
          <w:rFonts w:ascii="Helvetica" w:hAnsi="Helvetica"/>
          <w:color w:val="000000"/>
        </w:rPr>
        <w:t>ultramafic</w:t>
      </w:r>
      <w:proofErr w:type="spellEnd"/>
      <w:r>
        <w:rPr>
          <w:rFonts w:ascii="Helvetica" w:hAnsi="Helvetica"/>
          <w:color w:val="000000"/>
        </w:rPr>
        <w:t xml:space="preserve"> à </w:t>
      </w:r>
      <w:proofErr w:type="spellStart"/>
      <w:r>
        <w:rPr>
          <w:rFonts w:ascii="Helvetica" w:hAnsi="Helvetica"/>
          <w:color w:val="000000"/>
        </w:rPr>
        <w:t>mafique</w:t>
      </w:r>
      <w:proofErr w:type="spellEnd"/>
      <w:r>
        <w:rPr>
          <w:rFonts w:ascii="Helvetica" w:hAnsi="Helvetica"/>
          <w:color w:val="000000"/>
        </w:rPr>
        <w:t xml:space="preserve"> formée de la base vers le sommet par des péridotites, des </w:t>
      </w:r>
      <w:proofErr w:type="spellStart"/>
      <w:r>
        <w:rPr>
          <w:rFonts w:ascii="Helvetica" w:hAnsi="Helvetica"/>
          <w:color w:val="000000"/>
        </w:rPr>
        <w:t>webstérites</w:t>
      </w:r>
      <w:proofErr w:type="spellEnd"/>
      <w:r>
        <w:rPr>
          <w:rFonts w:ascii="Helvetica" w:hAnsi="Helvetica"/>
          <w:color w:val="000000"/>
        </w:rPr>
        <w:t xml:space="preserve">, des </w:t>
      </w:r>
      <w:proofErr w:type="spellStart"/>
      <w:r>
        <w:rPr>
          <w:rFonts w:ascii="Helvetica" w:hAnsi="Helvetica"/>
          <w:color w:val="000000"/>
        </w:rPr>
        <w:t>hornblendites</w:t>
      </w:r>
      <w:proofErr w:type="spellEnd"/>
      <w:r>
        <w:rPr>
          <w:rFonts w:ascii="Helvetica" w:hAnsi="Helvetica"/>
          <w:color w:val="000000"/>
        </w:rPr>
        <w:t xml:space="preserve">, des gabbro et des anorthosites don l’études géochimique à montré qu’il s’agit d’une série cumulatif typique des série </w:t>
      </w:r>
      <w:proofErr w:type="spellStart"/>
      <w:r>
        <w:rPr>
          <w:rFonts w:ascii="Helvetica" w:hAnsi="Helvetica"/>
          <w:color w:val="000000"/>
        </w:rPr>
        <w:t>tholeitiques</w:t>
      </w:r>
      <w:proofErr w:type="spellEnd"/>
      <w:r>
        <w:rPr>
          <w:rFonts w:ascii="Helvetica" w:hAnsi="Helvetica"/>
          <w:color w:val="000000"/>
        </w:rPr>
        <w:t xml:space="preserve">, surmonté par des </w:t>
      </w:r>
      <w:proofErr w:type="spellStart"/>
      <w:r>
        <w:rPr>
          <w:rFonts w:ascii="Helvetica" w:hAnsi="Helvetica"/>
          <w:color w:val="000000"/>
        </w:rPr>
        <w:t>métasésiment</w:t>
      </w:r>
      <w:proofErr w:type="spellEnd"/>
      <w:r>
        <w:rPr>
          <w:rFonts w:ascii="Helvetica" w:hAnsi="Helvetica"/>
          <w:color w:val="000000"/>
        </w:rPr>
        <w:t xml:space="preserve"> de plateforme qui comprend les quartzites, les granulites à silicates calciques, les </w:t>
      </w:r>
      <w:proofErr w:type="spellStart"/>
      <w:r>
        <w:rPr>
          <w:rFonts w:ascii="Helvetica" w:hAnsi="Helvetica"/>
          <w:color w:val="000000"/>
        </w:rPr>
        <w:t>skarns</w:t>
      </w:r>
      <w:proofErr w:type="spellEnd"/>
      <w:r>
        <w:rPr>
          <w:rFonts w:ascii="Helvetica" w:hAnsi="Helvetica"/>
          <w:color w:val="000000"/>
        </w:rPr>
        <w:t xml:space="preserve"> et les </w:t>
      </w:r>
      <w:proofErr w:type="spellStart"/>
      <w:r>
        <w:rPr>
          <w:rFonts w:ascii="Helvetica" w:hAnsi="Helvetica"/>
          <w:color w:val="000000"/>
        </w:rPr>
        <w:t>metapélites</w:t>
      </w:r>
      <w:proofErr w:type="spellEnd"/>
      <w:r>
        <w:rPr>
          <w:rFonts w:ascii="Helvetica" w:hAnsi="Helvetica"/>
          <w:color w:val="000000"/>
        </w:rPr>
        <w:t xml:space="preserve">. Ces derniers </w:t>
      </w:r>
      <w:r w:rsidRPr="00843113">
        <w:rPr>
          <w:rFonts w:ascii="Helvetica" w:hAnsi="Helvetica"/>
          <w:color w:val="000000"/>
        </w:rPr>
        <w:t xml:space="preserve">sont particulièrement adaptés pour la reconstitution de l'histoire métamorphique en relation avec les variations de </w:t>
      </w:r>
      <w:r w:rsidRPr="00843113">
        <w:rPr>
          <w:rFonts w:ascii="Helvetica" w:hAnsi="Helvetica"/>
          <w:b/>
          <w:bCs/>
          <w:i/>
          <w:iCs/>
          <w:color w:val="000000"/>
        </w:rPr>
        <w:t>P</w:t>
      </w:r>
      <w:r w:rsidRPr="00843113">
        <w:rPr>
          <w:rFonts w:ascii="Helvetica" w:hAnsi="Helvetica"/>
          <w:color w:val="000000"/>
        </w:rPr>
        <w:t xml:space="preserve">, </w:t>
      </w:r>
      <w:r w:rsidRPr="00843113">
        <w:rPr>
          <w:rFonts w:ascii="Helvetica" w:hAnsi="Helvetica"/>
          <w:b/>
          <w:bCs/>
          <w:i/>
          <w:iCs/>
          <w:color w:val="000000"/>
        </w:rPr>
        <w:t>T</w:t>
      </w:r>
      <w:r w:rsidRPr="00843113">
        <w:rPr>
          <w:rFonts w:ascii="Helvetica" w:hAnsi="Helvetica"/>
          <w:color w:val="000000"/>
        </w:rPr>
        <w:t xml:space="preserve">, </w:t>
      </w:r>
      <w:r w:rsidRPr="00843113">
        <w:rPr>
          <w:rFonts w:ascii="Helvetica" w:hAnsi="Helvetica"/>
          <w:b/>
          <w:bCs/>
          <w:i/>
          <w:iCs/>
          <w:color w:val="000000"/>
        </w:rPr>
        <w:t>X</w:t>
      </w:r>
      <w:r>
        <w:rPr>
          <w:rFonts w:ascii="Helvetica" w:hAnsi="Helvetica"/>
          <w:b/>
          <w:bCs/>
          <w:color w:val="000000"/>
          <w:vertAlign w:val="subscript"/>
        </w:rPr>
        <w:t xml:space="preserve">CO2. </w:t>
      </w:r>
      <w:r w:rsidRPr="00F7507C">
        <w:rPr>
          <w:rFonts w:ascii="Helvetica" w:hAnsi="Helvetica"/>
        </w:rPr>
        <w:t xml:space="preserve">L’association à grenat,  </w:t>
      </w:r>
      <w:proofErr w:type="spellStart"/>
      <w:r w:rsidRPr="00F7507C">
        <w:rPr>
          <w:rFonts w:ascii="Helvetica" w:hAnsi="Helvetica"/>
        </w:rPr>
        <w:t>sillimanite</w:t>
      </w:r>
      <w:proofErr w:type="spellEnd"/>
      <w:r w:rsidRPr="00F7507C">
        <w:rPr>
          <w:rFonts w:ascii="Helvetica" w:hAnsi="Helvetica"/>
        </w:rPr>
        <w:t xml:space="preserve">,  biotite,  feldspath potassique,  quartz,  ilménite et rutile s’est équilibrée  dans les conditions du faciès granulite à des températures de </w:t>
      </w:r>
      <w:r w:rsidRPr="00F7507C">
        <w:rPr>
          <w:rFonts w:ascii="Helvetica" w:hAnsi="Helvetica"/>
          <w:sz w:val="22"/>
          <w:szCs w:val="22"/>
        </w:rPr>
        <w:t>892</w:t>
      </w:r>
      <w:r w:rsidRPr="00F7507C">
        <w:rPr>
          <w:rFonts w:ascii="Helvetica" w:hAnsi="Helvetica"/>
        </w:rPr>
        <w:t xml:space="preserve"> </w:t>
      </w:r>
      <w:r w:rsidRPr="00F7507C">
        <w:rPr>
          <w:rFonts w:ascii="Helvetica" w:hAnsi="Helvetica" w:cs="Symbol"/>
        </w:rPr>
        <w:sym w:font="Symbol" w:char="F0B1"/>
      </w:r>
      <w:r w:rsidRPr="00F7507C">
        <w:rPr>
          <w:rFonts w:ascii="Helvetica" w:hAnsi="Helvetica"/>
        </w:rPr>
        <w:t xml:space="preserve"> </w:t>
      </w:r>
      <w:smartTag w:uri="urn:schemas-microsoft-com:office:smarttags" w:element="metricconverter">
        <w:smartTagPr>
          <w:attr w:name="ProductID" w:val="50ﾰC"/>
        </w:smartTagPr>
        <w:r w:rsidRPr="00F7507C">
          <w:rPr>
            <w:rFonts w:ascii="Helvetica" w:hAnsi="Helvetica"/>
            <w:sz w:val="22"/>
            <w:szCs w:val="22"/>
          </w:rPr>
          <w:t>82</w:t>
        </w:r>
        <w:r w:rsidRPr="00F7507C">
          <w:rPr>
            <w:rFonts w:ascii="Helvetica" w:hAnsi="Helvetica"/>
          </w:rPr>
          <w:t>°C</w:t>
        </w:r>
      </w:smartTag>
      <w:r w:rsidRPr="00F7507C">
        <w:rPr>
          <w:rFonts w:ascii="Helvetica" w:hAnsi="Helvetica"/>
        </w:rPr>
        <w:t xml:space="preserve">  et à des pressions de </w:t>
      </w:r>
      <w:r w:rsidRPr="00F7507C">
        <w:rPr>
          <w:rFonts w:ascii="Helvetica" w:hAnsi="Helvetica"/>
          <w:sz w:val="22"/>
          <w:szCs w:val="22"/>
        </w:rPr>
        <w:t xml:space="preserve">9.0 </w:t>
      </w:r>
      <w:r w:rsidRPr="00F7507C">
        <w:rPr>
          <w:rFonts w:ascii="Helvetica" w:hAnsi="Helvetica" w:cs="Symbol"/>
        </w:rPr>
        <w:sym w:font="Symbol" w:char="F0B1"/>
      </w:r>
      <w:r w:rsidRPr="00F7507C">
        <w:rPr>
          <w:rFonts w:ascii="Helvetica" w:hAnsi="Helvetica"/>
        </w:rPr>
        <w:t xml:space="preserve"> </w:t>
      </w:r>
      <w:r w:rsidRPr="00F7507C">
        <w:rPr>
          <w:rFonts w:ascii="Helvetica" w:hAnsi="Helvetica"/>
          <w:sz w:val="22"/>
          <w:szCs w:val="22"/>
        </w:rPr>
        <w:t xml:space="preserve">1.1 </w:t>
      </w:r>
      <w:r w:rsidRPr="00F7507C">
        <w:rPr>
          <w:rFonts w:ascii="Helvetica" w:hAnsi="Helvetica"/>
        </w:rPr>
        <w:t xml:space="preserve">kb. </w:t>
      </w:r>
      <w:r>
        <w:rPr>
          <w:rFonts w:ascii="Helvetica" w:hAnsi="Helvetica"/>
        </w:rPr>
        <w:t>Le groupe</w:t>
      </w:r>
      <w:r w:rsidRPr="00F7507C">
        <w:rPr>
          <w:rFonts w:ascii="Helvetica" w:hAnsi="Helvetica"/>
        </w:rPr>
        <w:t xml:space="preserve"> des Gour </w:t>
      </w:r>
      <w:proofErr w:type="spellStart"/>
      <w:r w:rsidRPr="00F7507C">
        <w:rPr>
          <w:rFonts w:ascii="Helvetica" w:hAnsi="Helvetica"/>
        </w:rPr>
        <w:t>Oumelalen</w:t>
      </w:r>
      <w:proofErr w:type="spellEnd"/>
      <w:r>
        <w:rPr>
          <w:rFonts w:ascii="Helvetica" w:hAnsi="Helvetica"/>
        </w:rPr>
        <w:t xml:space="preserve"> au Sud</w:t>
      </w:r>
      <w:r w:rsidRPr="00F7507C">
        <w:rPr>
          <w:rFonts w:ascii="Helvetica" w:hAnsi="Helvetica"/>
        </w:rPr>
        <w:t xml:space="preserve"> </w:t>
      </w:r>
      <w:proofErr w:type="spellStart"/>
      <w:r>
        <w:rPr>
          <w:rFonts w:ascii="Helvetica" w:hAnsi="Helvetica"/>
        </w:rPr>
        <w:t>Zirmerzouk</w:t>
      </w:r>
      <w:proofErr w:type="spellEnd"/>
      <w:r w:rsidRPr="00F7507C">
        <w:rPr>
          <w:rFonts w:ascii="Helvetica" w:hAnsi="Helvetica"/>
        </w:rPr>
        <w:t xml:space="preserve"> </w:t>
      </w:r>
      <w:r w:rsidRPr="00616843">
        <w:rPr>
          <w:rFonts w:ascii="Helvetica" w:hAnsi="Helvetica"/>
        </w:rPr>
        <w:t xml:space="preserve">est composé de marbres rubanés ferrifères associés à des amphibolites à grenat, des quartzites à </w:t>
      </w:r>
      <w:proofErr w:type="spellStart"/>
      <w:r w:rsidRPr="00616843">
        <w:rPr>
          <w:rFonts w:ascii="Helvetica" w:hAnsi="Helvetica"/>
        </w:rPr>
        <w:t>fuschite</w:t>
      </w:r>
      <w:proofErr w:type="spellEnd"/>
      <w:r w:rsidRPr="00616843">
        <w:rPr>
          <w:rFonts w:ascii="Helvetica" w:hAnsi="Helvetica"/>
        </w:rPr>
        <w:t xml:space="preserve"> et des </w:t>
      </w:r>
      <w:proofErr w:type="spellStart"/>
      <w:r w:rsidRPr="00616843">
        <w:rPr>
          <w:rFonts w:ascii="Helvetica" w:hAnsi="Helvetica"/>
        </w:rPr>
        <w:t>métapélites</w:t>
      </w:r>
      <w:proofErr w:type="spellEnd"/>
      <w:r w:rsidRPr="00616843">
        <w:rPr>
          <w:rFonts w:ascii="Helvetica" w:hAnsi="Helvetica"/>
        </w:rPr>
        <w:t xml:space="preserve"> à </w:t>
      </w:r>
      <w:proofErr w:type="spellStart"/>
      <w:r w:rsidRPr="00616843">
        <w:rPr>
          <w:rFonts w:ascii="Helvetica" w:hAnsi="Helvetica"/>
        </w:rPr>
        <w:t>staurotide</w:t>
      </w:r>
      <w:proofErr w:type="spellEnd"/>
      <w:r w:rsidRPr="00616843">
        <w:rPr>
          <w:rFonts w:ascii="Helvetica" w:hAnsi="Helvetica"/>
        </w:rPr>
        <w:t xml:space="preserve">, disthène et andalousite. </w:t>
      </w:r>
      <w:r>
        <w:rPr>
          <w:rFonts w:ascii="Helvetica" w:hAnsi="Helvetica"/>
        </w:rPr>
        <w:t xml:space="preserve">Dans les </w:t>
      </w:r>
      <w:proofErr w:type="spellStart"/>
      <w:r>
        <w:rPr>
          <w:rFonts w:ascii="Helvetica" w:hAnsi="Helvetica"/>
        </w:rPr>
        <w:t>metapélites</w:t>
      </w:r>
      <w:proofErr w:type="spellEnd"/>
      <w:r>
        <w:rPr>
          <w:rFonts w:ascii="Helvetica" w:hAnsi="Helvetica"/>
        </w:rPr>
        <w:t xml:space="preserve"> la </w:t>
      </w:r>
      <w:r w:rsidRPr="00F7507C">
        <w:rPr>
          <w:rFonts w:ascii="Helvetica" w:hAnsi="Helvetica"/>
        </w:rPr>
        <w:t xml:space="preserve"> </w:t>
      </w:r>
      <w:proofErr w:type="spellStart"/>
      <w:r w:rsidRPr="00F7507C">
        <w:rPr>
          <w:rFonts w:ascii="Helvetica" w:hAnsi="Helvetica"/>
        </w:rPr>
        <w:t>paragénèse</w:t>
      </w:r>
      <w:proofErr w:type="spellEnd"/>
      <w:r w:rsidRPr="00F7507C">
        <w:rPr>
          <w:rFonts w:ascii="Helvetica" w:hAnsi="Helvetica"/>
        </w:rPr>
        <w:t xml:space="preserve"> primaire à </w:t>
      </w:r>
      <w:proofErr w:type="spellStart"/>
      <w:r w:rsidRPr="00F7507C">
        <w:rPr>
          <w:rFonts w:ascii="Helvetica" w:hAnsi="Helvetica"/>
        </w:rPr>
        <w:t>staurotide</w:t>
      </w:r>
      <w:proofErr w:type="spellEnd"/>
      <w:r w:rsidRPr="00F7507C">
        <w:rPr>
          <w:rFonts w:ascii="Helvetica" w:hAnsi="Helvetica"/>
        </w:rPr>
        <w:t xml:space="preserve">,  grenat,  disthène, muscovite, biotite, plagioclase, tourmaline, quartz et ilménite dont l’équilibre se fait pour des températures de 556 ± </w:t>
      </w:r>
      <w:smartTag w:uri="urn:schemas-microsoft-com:office:smarttags" w:element="metricconverter">
        <w:r w:rsidRPr="00F7507C">
          <w:rPr>
            <w:rFonts w:ascii="Helvetica" w:hAnsi="Helvetica"/>
          </w:rPr>
          <w:t>20°C</w:t>
        </w:r>
      </w:smartTag>
      <w:r w:rsidRPr="00F7507C">
        <w:rPr>
          <w:rFonts w:ascii="Helvetica" w:hAnsi="Helvetica"/>
        </w:rPr>
        <w:t xml:space="preserve"> et une pression de 11.5 ± 0.9 kb témoin d’un métamorphisme dans les conditions du faciès amphibolite de haute pression. L’apparition de l’andalousite à des températures de 582 ± 50 et des  pressions de 4.3 ± 1.6 kb, se réalise à la suite d’une décompression importante sans modification de température</w:t>
      </w:r>
      <w:r>
        <w:rPr>
          <w:rFonts w:ascii="Helvetica" w:hAnsi="Helvetica"/>
        </w:rPr>
        <w:t>.</w:t>
      </w:r>
      <w:r w:rsidRPr="0029686D">
        <w:t xml:space="preserve"> </w:t>
      </w:r>
      <w:r w:rsidRPr="0029686D">
        <w:rPr>
          <w:rFonts w:ascii="Helvetica" w:hAnsi="Helvetica"/>
        </w:rPr>
        <w:t xml:space="preserve">La différence considérable de gradient thermique entre ces deux régions pose la question de l’homogénéité des Gour </w:t>
      </w:r>
      <w:proofErr w:type="spellStart"/>
      <w:r w:rsidRPr="0029686D">
        <w:rPr>
          <w:rFonts w:ascii="Helvetica" w:hAnsi="Helvetica"/>
        </w:rPr>
        <w:t>Oumelalen</w:t>
      </w:r>
      <w:proofErr w:type="spellEnd"/>
      <w:r w:rsidRPr="0029686D">
        <w:rPr>
          <w:rFonts w:ascii="Helvetica" w:hAnsi="Helvetica"/>
        </w:rPr>
        <w:t xml:space="preserve"> et pourrait s’expliquer par la superposition tectonique de deux unités différentes. </w:t>
      </w:r>
      <w:r>
        <w:rPr>
          <w:rFonts w:ascii="Helvetica" w:hAnsi="Helvetica"/>
        </w:rPr>
        <w:t xml:space="preserve">Le </w:t>
      </w:r>
      <w:r w:rsidRPr="00DC5254">
        <w:rPr>
          <w:rFonts w:ascii="Helvetica" w:hAnsi="Helvetica" w:cs="Arial"/>
          <w:bCs/>
          <w:lang w:bidi="ar-SA"/>
        </w:rPr>
        <w:t xml:space="preserve">cheminement horaire avec un </w:t>
      </w:r>
      <w:proofErr w:type="spellStart"/>
      <w:r w:rsidRPr="00DC5254">
        <w:rPr>
          <w:rFonts w:ascii="Helvetica" w:hAnsi="Helvetica" w:cs="Arial"/>
          <w:bCs/>
          <w:lang w:bidi="ar-SA"/>
        </w:rPr>
        <w:t>refroidisssement</w:t>
      </w:r>
      <w:proofErr w:type="spellEnd"/>
      <w:r w:rsidRPr="00DC5254">
        <w:rPr>
          <w:rFonts w:ascii="Helvetica" w:hAnsi="Helvetica" w:cs="Arial"/>
          <w:bCs/>
          <w:lang w:bidi="ar-SA"/>
        </w:rPr>
        <w:t xml:space="preserve">  isobare, </w:t>
      </w:r>
      <w:r>
        <w:rPr>
          <w:rFonts w:ascii="Helvetica" w:hAnsi="Helvetica" w:cs="Arial"/>
          <w:bCs/>
          <w:lang w:bidi="ar-SA"/>
        </w:rPr>
        <w:t>dans les</w:t>
      </w:r>
      <w:r w:rsidRPr="00DC5254">
        <w:rPr>
          <w:rFonts w:ascii="Helvetica" w:hAnsi="Helvetica" w:cs="Arial"/>
          <w:bCs/>
          <w:lang w:bidi="ar-SA"/>
        </w:rPr>
        <w:t xml:space="preserve"> Gour </w:t>
      </w:r>
      <w:proofErr w:type="spellStart"/>
      <w:r w:rsidRPr="00DC5254">
        <w:rPr>
          <w:rFonts w:ascii="Helvetica" w:hAnsi="Helvetica" w:cs="Arial"/>
          <w:bCs/>
          <w:lang w:bidi="ar-SA"/>
        </w:rPr>
        <w:t>Oumelalen</w:t>
      </w:r>
      <w:proofErr w:type="spellEnd"/>
      <w:r>
        <w:rPr>
          <w:rFonts w:ascii="Helvetica" w:hAnsi="Helvetica" w:cs="Arial"/>
          <w:bCs/>
          <w:lang w:bidi="ar-SA"/>
        </w:rPr>
        <w:t xml:space="preserve"> au Nord</w:t>
      </w:r>
      <w:r w:rsidRPr="00DC5254">
        <w:rPr>
          <w:rFonts w:ascii="Helvetica" w:hAnsi="Helvetica" w:cs="Arial"/>
          <w:bCs/>
          <w:lang w:bidi="ar-SA"/>
        </w:rPr>
        <w:t xml:space="preserve">, </w:t>
      </w:r>
      <w:r>
        <w:rPr>
          <w:rFonts w:ascii="Helvetica" w:hAnsi="Helvetica"/>
        </w:rPr>
        <w:t xml:space="preserve">indique </w:t>
      </w:r>
      <w:proofErr w:type="spellStart"/>
      <w:r>
        <w:rPr>
          <w:rFonts w:ascii="Helvetica" w:hAnsi="Helvetica"/>
        </w:rPr>
        <w:t>q’au</w:t>
      </w:r>
      <w:proofErr w:type="spellEnd"/>
      <w:r>
        <w:rPr>
          <w:rFonts w:ascii="Helvetica" w:hAnsi="Helvetica"/>
        </w:rPr>
        <w:t xml:space="preserve"> cour de</w:t>
      </w:r>
      <w:r w:rsidRPr="0029686D">
        <w:rPr>
          <w:rFonts w:ascii="Helvetica" w:hAnsi="Helvetica"/>
        </w:rPr>
        <w:t xml:space="preserve"> l’Eburnéen, un complexe basique et ultrabasique à anorthosite, important vecteur de chaleur s'est accumulé à la base de la croûte et a pu  contribuer à  l’augmentation de la température responsable du métamorphisme </w:t>
      </w:r>
      <w:proofErr w:type="spellStart"/>
      <w:r w:rsidRPr="0029686D">
        <w:rPr>
          <w:rFonts w:ascii="Helvetica" w:hAnsi="Helvetica"/>
        </w:rPr>
        <w:t>prograde</w:t>
      </w:r>
      <w:proofErr w:type="spellEnd"/>
      <w:r w:rsidRPr="0029686D">
        <w:rPr>
          <w:rFonts w:ascii="Helvetica" w:hAnsi="Helvetica"/>
        </w:rPr>
        <w:t xml:space="preserve"> vers le faciès </w:t>
      </w:r>
      <w:proofErr w:type="spellStart"/>
      <w:r w:rsidRPr="0029686D">
        <w:rPr>
          <w:rFonts w:ascii="Helvetica" w:hAnsi="Helvetica"/>
        </w:rPr>
        <w:t>granulite</w:t>
      </w:r>
      <w:r w:rsidRPr="00DC5254">
        <w:rPr>
          <w:rFonts w:ascii="Helvetica" w:hAnsi="Helvetica" w:cs="Arial"/>
          <w:bCs/>
          <w:lang w:bidi="ar-SA"/>
        </w:rPr>
        <w:t>re</w:t>
      </w:r>
      <w:proofErr w:type="spellEnd"/>
      <w:r>
        <w:rPr>
          <w:rFonts w:ascii="Helvetica" w:hAnsi="Helvetica" w:cs="Arial"/>
          <w:bCs/>
          <w:lang w:bidi="ar-SA"/>
        </w:rPr>
        <w:t xml:space="preserve">, le </w:t>
      </w:r>
      <w:proofErr w:type="spellStart"/>
      <w:r w:rsidRPr="00DC5254">
        <w:rPr>
          <w:rFonts w:ascii="Helvetica" w:hAnsi="Helvetica" w:cs="Arial"/>
          <w:bCs/>
          <w:lang w:bidi="ar-SA"/>
        </w:rPr>
        <w:t>froisdissement</w:t>
      </w:r>
      <w:proofErr w:type="spellEnd"/>
      <w:r w:rsidRPr="00DC5254">
        <w:rPr>
          <w:rFonts w:ascii="Helvetica" w:hAnsi="Helvetica" w:cs="Arial"/>
          <w:bCs/>
          <w:lang w:bidi="ar-SA"/>
        </w:rPr>
        <w:t xml:space="preserve"> se fait ensuite lentement avec le retour d’un </w:t>
      </w:r>
      <w:proofErr w:type="spellStart"/>
      <w:r w:rsidRPr="00DC5254">
        <w:rPr>
          <w:rFonts w:ascii="Helvetica" w:hAnsi="Helvetica" w:cs="Arial"/>
          <w:bCs/>
          <w:lang w:bidi="ar-SA"/>
        </w:rPr>
        <w:t>géotherme</w:t>
      </w:r>
      <w:proofErr w:type="spellEnd"/>
      <w:r w:rsidRPr="00DC5254">
        <w:rPr>
          <w:rFonts w:ascii="Helvetica" w:hAnsi="Helvetica" w:cs="Arial"/>
          <w:bCs/>
          <w:lang w:bidi="ar-SA"/>
        </w:rPr>
        <w:t xml:space="preserve"> normal et l’exhumation de la chaine  ne se fait qu’</w:t>
      </w:r>
      <w:proofErr w:type="spellStart"/>
      <w:r w:rsidRPr="00DC5254">
        <w:rPr>
          <w:rFonts w:ascii="Helvetica" w:hAnsi="Helvetica" w:cs="Arial"/>
          <w:bCs/>
          <w:lang w:bidi="ar-SA"/>
        </w:rPr>
        <w:t>ultérieuerement</w:t>
      </w:r>
      <w:proofErr w:type="spellEnd"/>
      <w:r w:rsidRPr="00DC5254">
        <w:rPr>
          <w:rFonts w:ascii="Helvetica" w:hAnsi="Helvetica" w:cs="Arial"/>
          <w:bCs/>
          <w:lang w:bidi="ar-SA"/>
        </w:rPr>
        <w:t xml:space="preserve"> suite à une deuxième </w:t>
      </w:r>
      <w:proofErr w:type="spellStart"/>
      <w:r w:rsidRPr="004D0532">
        <w:rPr>
          <w:rFonts w:ascii="Helvetica" w:hAnsi="Helvetica" w:cs="Arial"/>
          <w:bCs/>
          <w:lang w:bidi="ar-SA"/>
        </w:rPr>
        <w:t>orogénénése</w:t>
      </w:r>
      <w:proofErr w:type="spellEnd"/>
      <w:r w:rsidRPr="004D0532">
        <w:rPr>
          <w:rFonts w:ascii="Helvetica" w:hAnsi="Helvetica" w:cs="Arial"/>
          <w:bCs/>
          <w:lang w:bidi="ar-SA"/>
        </w:rPr>
        <w:t>, probablement Panafricain</w:t>
      </w:r>
      <w:r w:rsidRPr="004D0532">
        <w:rPr>
          <w:rFonts w:ascii="Helvetica" w:hAnsi="Helvetica"/>
        </w:rPr>
        <w:t>.</w:t>
      </w:r>
    </w:p>
    <w:p w:rsidR="004A3B80" w:rsidRDefault="004A3B80"/>
    <w:p w:rsidR="00847869" w:rsidRDefault="00847869">
      <w:r>
        <w:t xml:space="preserve">Directrice de thèse </w:t>
      </w:r>
      <w:proofErr w:type="spellStart"/>
      <w:r>
        <w:t>Khadidja</w:t>
      </w:r>
      <w:proofErr w:type="spellEnd"/>
      <w:r>
        <w:t xml:space="preserve"> OUZEGANE</w:t>
      </w:r>
    </w:p>
    <w:sectPr w:rsidR="00847869" w:rsidSect="004A3B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06C8"/>
    <w:rsid w:val="004206C8"/>
    <w:rsid w:val="004A3B80"/>
    <w:rsid w:val="004D0532"/>
    <w:rsid w:val="00847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6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437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yassine</dc:creator>
  <cp:lastModifiedBy>yassine</cp:lastModifiedBy>
  <cp:revision>2</cp:revision>
  <dcterms:created xsi:type="dcterms:W3CDTF">2011-06-25T20:13:00Z</dcterms:created>
  <dcterms:modified xsi:type="dcterms:W3CDTF">2011-06-25T20:28:00Z</dcterms:modified>
</cp:coreProperties>
</file>