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584E" w:rsidRDefault="00DE584E" w:rsidP="00130953">
      <w:pPr>
        <w:jc w:val="center"/>
        <w:rPr>
          <w:rFonts w:asciiTheme="majorBidi" w:hAnsiTheme="majorBidi" w:cstheme="majorBidi"/>
          <w:b/>
          <w:bCs/>
          <w:sz w:val="24"/>
          <w:szCs w:val="24"/>
        </w:rPr>
      </w:pPr>
    </w:p>
    <w:p w:rsidR="00130953" w:rsidRPr="003D0309" w:rsidRDefault="00130953" w:rsidP="00130953">
      <w:pPr>
        <w:jc w:val="center"/>
        <w:rPr>
          <w:rFonts w:asciiTheme="majorBidi" w:hAnsiTheme="majorBidi" w:cstheme="majorBidi"/>
          <w:b/>
          <w:bCs/>
          <w:sz w:val="24"/>
          <w:szCs w:val="24"/>
        </w:rPr>
      </w:pPr>
      <w:r w:rsidRPr="003D0309">
        <w:rPr>
          <w:rFonts w:asciiTheme="majorBidi" w:hAnsiTheme="majorBidi" w:cstheme="majorBidi"/>
          <w:b/>
          <w:bCs/>
          <w:sz w:val="24"/>
          <w:szCs w:val="24"/>
        </w:rPr>
        <w:t>Résumé</w:t>
      </w:r>
    </w:p>
    <w:p w:rsidR="00130953" w:rsidRDefault="00130953" w:rsidP="00130953">
      <w:pPr>
        <w:jc w:val="both"/>
        <w:rPr>
          <w:rFonts w:asciiTheme="majorBidi" w:hAnsiTheme="majorBidi" w:cstheme="majorBidi"/>
          <w:sz w:val="24"/>
          <w:szCs w:val="24"/>
        </w:rPr>
      </w:pPr>
      <w:r w:rsidRPr="003D0309">
        <w:rPr>
          <w:rFonts w:asciiTheme="majorBidi" w:hAnsiTheme="majorBidi" w:cstheme="majorBidi"/>
          <w:sz w:val="24"/>
          <w:szCs w:val="24"/>
        </w:rPr>
        <w:tab/>
        <w:t>L’</w:t>
      </w:r>
      <w:r>
        <w:rPr>
          <w:rFonts w:asciiTheme="majorBidi" w:hAnsiTheme="majorBidi" w:cstheme="majorBidi"/>
          <w:sz w:val="24"/>
          <w:szCs w:val="24"/>
        </w:rPr>
        <w:t>axe Hy</w:t>
      </w:r>
      <w:bookmarkStart w:id="0" w:name="_GoBack"/>
      <w:bookmarkEnd w:id="0"/>
      <w:r>
        <w:rPr>
          <w:rFonts w:asciiTheme="majorBidi" w:hAnsiTheme="majorBidi" w:cstheme="majorBidi"/>
          <w:sz w:val="24"/>
          <w:szCs w:val="24"/>
        </w:rPr>
        <w:t>pothalamo-Hypophyso-C</w:t>
      </w:r>
      <w:r w:rsidRPr="003D0309">
        <w:rPr>
          <w:rFonts w:asciiTheme="majorBidi" w:hAnsiTheme="majorBidi" w:cstheme="majorBidi"/>
          <w:sz w:val="24"/>
          <w:szCs w:val="24"/>
        </w:rPr>
        <w:t>orticosurrénalien</w:t>
      </w:r>
      <w:r>
        <w:rPr>
          <w:rFonts w:asciiTheme="majorBidi" w:hAnsiTheme="majorBidi" w:cstheme="majorBidi"/>
          <w:sz w:val="24"/>
          <w:szCs w:val="24"/>
        </w:rPr>
        <w:t xml:space="preserve"> (HHC)</w:t>
      </w:r>
      <w:r w:rsidRPr="003D0309">
        <w:rPr>
          <w:rFonts w:asciiTheme="majorBidi" w:hAnsiTheme="majorBidi" w:cstheme="majorBidi"/>
          <w:sz w:val="24"/>
          <w:szCs w:val="24"/>
        </w:rPr>
        <w:t xml:space="preserve"> joue un rôle crucial dans </w:t>
      </w:r>
      <w:r>
        <w:rPr>
          <w:rFonts w:asciiTheme="majorBidi" w:hAnsiTheme="majorBidi" w:cstheme="majorBidi"/>
          <w:sz w:val="24"/>
          <w:szCs w:val="24"/>
        </w:rPr>
        <w:t xml:space="preserve">les régulations métaboliques de l’organisme assurant l’adaptation à l’environnement. Chez de nombreux mammifères, l’activité de cet axe présente des variations saisonnières corrélées </w:t>
      </w:r>
      <w:r w:rsidRPr="003D0309">
        <w:rPr>
          <w:rFonts w:asciiTheme="majorBidi" w:hAnsiTheme="majorBidi" w:cstheme="majorBidi"/>
          <w:sz w:val="24"/>
          <w:szCs w:val="24"/>
        </w:rPr>
        <w:t xml:space="preserve">positivement ou négativement avec celles de l’activité de reproduction. Afin d’élucider </w:t>
      </w:r>
      <w:r>
        <w:rPr>
          <w:rFonts w:asciiTheme="majorBidi" w:hAnsiTheme="majorBidi" w:cstheme="majorBidi"/>
          <w:sz w:val="24"/>
          <w:szCs w:val="24"/>
        </w:rPr>
        <w:t xml:space="preserve">le déterminisme endogène </w:t>
      </w:r>
      <w:r w:rsidRPr="003D0309">
        <w:rPr>
          <w:rFonts w:asciiTheme="majorBidi" w:hAnsiTheme="majorBidi" w:cstheme="majorBidi"/>
          <w:sz w:val="24"/>
          <w:szCs w:val="24"/>
        </w:rPr>
        <w:t>de ces cycles saisonniers</w:t>
      </w:r>
      <w:r>
        <w:rPr>
          <w:rFonts w:asciiTheme="majorBidi" w:hAnsiTheme="majorBidi" w:cstheme="majorBidi"/>
          <w:sz w:val="24"/>
          <w:szCs w:val="24"/>
        </w:rPr>
        <w:t xml:space="preserve"> très nets chez les espèces sahariennes, n</w:t>
      </w:r>
      <w:r w:rsidRPr="003D0309">
        <w:rPr>
          <w:rFonts w:asciiTheme="majorBidi" w:hAnsiTheme="majorBidi" w:cstheme="majorBidi"/>
          <w:sz w:val="24"/>
          <w:szCs w:val="24"/>
        </w:rPr>
        <w:t xml:space="preserve">ous avons étudié chez </w:t>
      </w:r>
      <w:r w:rsidRPr="003D0309">
        <w:rPr>
          <w:rFonts w:asciiTheme="majorBidi" w:hAnsiTheme="majorBidi" w:cstheme="majorBidi"/>
          <w:i/>
          <w:iCs/>
          <w:sz w:val="24"/>
          <w:szCs w:val="24"/>
        </w:rPr>
        <w:t>Meriones libycus</w:t>
      </w:r>
      <w:r>
        <w:rPr>
          <w:rFonts w:asciiTheme="majorBidi" w:hAnsiTheme="majorBidi" w:cstheme="majorBidi"/>
          <w:iCs/>
          <w:sz w:val="24"/>
          <w:szCs w:val="24"/>
        </w:rPr>
        <w:t xml:space="preserve"> (</w:t>
      </w:r>
      <w:r w:rsidRPr="00390221">
        <w:rPr>
          <w:rFonts w:asciiTheme="majorBidi" w:hAnsiTheme="majorBidi" w:cstheme="majorBidi"/>
          <w:i/>
          <w:iCs/>
          <w:sz w:val="24"/>
          <w:szCs w:val="24"/>
        </w:rPr>
        <w:t>Muridae, Gerbillinae</w:t>
      </w:r>
      <w:r>
        <w:rPr>
          <w:rFonts w:asciiTheme="majorBidi" w:hAnsiTheme="majorBidi" w:cstheme="majorBidi"/>
          <w:iCs/>
          <w:sz w:val="24"/>
          <w:szCs w:val="24"/>
        </w:rPr>
        <w:t>)</w:t>
      </w:r>
      <w:r w:rsidRPr="003D0309">
        <w:rPr>
          <w:rFonts w:asciiTheme="majorBidi" w:hAnsiTheme="majorBidi" w:cstheme="majorBidi"/>
          <w:sz w:val="24"/>
          <w:szCs w:val="24"/>
        </w:rPr>
        <w:t xml:space="preserve"> à reproduction saisonnière allant de la fin de l’hiver au début de l’été, l’activité de l’axe HHC au cours du cycle sexuel </w:t>
      </w:r>
      <w:r>
        <w:rPr>
          <w:rFonts w:asciiTheme="majorBidi" w:hAnsiTheme="majorBidi" w:cstheme="majorBidi"/>
          <w:sz w:val="24"/>
          <w:szCs w:val="24"/>
        </w:rPr>
        <w:t>et recherché l’effet</w:t>
      </w:r>
      <w:r w:rsidRPr="003D0309">
        <w:rPr>
          <w:rFonts w:asciiTheme="majorBidi" w:hAnsiTheme="majorBidi" w:cstheme="majorBidi"/>
          <w:sz w:val="24"/>
          <w:szCs w:val="24"/>
        </w:rPr>
        <w:t xml:space="preserve"> androgénique sur l’établissement de ces cycles saisonniers par des expériences de castration et de traitement</w:t>
      </w:r>
      <w:r w:rsidR="00B93655">
        <w:rPr>
          <w:rFonts w:asciiTheme="majorBidi" w:hAnsiTheme="majorBidi" w:cstheme="majorBidi"/>
          <w:sz w:val="24"/>
          <w:szCs w:val="24"/>
        </w:rPr>
        <w:t>s</w:t>
      </w:r>
      <w:r w:rsidRPr="003D0309">
        <w:rPr>
          <w:rFonts w:asciiTheme="majorBidi" w:hAnsiTheme="majorBidi" w:cstheme="majorBidi"/>
          <w:sz w:val="24"/>
          <w:szCs w:val="24"/>
        </w:rPr>
        <w:t xml:space="preserve"> hormonaux. Les analyses ont été réalisées </w:t>
      </w:r>
      <w:r>
        <w:rPr>
          <w:rFonts w:asciiTheme="majorBidi" w:hAnsiTheme="majorBidi" w:cstheme="majorBidi"/>
          <w:sz w:val="24"/>
          <w:szCs w:val="24"/>
        </w:rPr>
        <w:t xml:space="preserve">1) </w:t>
      </w:r>
      <w:r w:rsidRPr="003D0309">
        <w:rPr>
          <w:rFonts w:asciiTheme="majorBidi" w:hAnsiTheme="majorBidi" w:cstheme="majorBidi"/>
          <w:sz w:val="24"/>
          <w:szCs w:val="24"/>
        </w:rPr>
        <w:t>au niveau hypophysaire par une colocalisation des récepteurs aux androgènes</w:t>
      </w:r>
      <w:r>
        <w:rPr>
          <w:rFonts w:asciiTheme="majorBidi" w:hAnsiTheme="majorBidi" w:cstheme="majorBidi"/>
          <w:sz w:val="24"/>
          <w:szCs w:val="24"/>
        </w:rPr>
        <w:t xml:space="preserve"> (</w:t>
      </w:r>
      <w:r w:rsidRPr="003D0309">
        <w:rPr>
          <w:rFonts w:asciiTheme="majorBidi" w:hAnsiTheme="majorBidi" w:cstheme="majorBidi"/>
          <w:sz w:val="24"/>
          <w:szCs w:val="24"/>
        </w:rPr>
        <w:t>R</w:t>
      </w:r>
      <w:r>
        <w:rPr>
          <w:rFonts w:asciiTheme="majorBidi" w:hAnsiTheme="majorBidi" w:cstheme="majorBidi"/>
          <w:sz w:val="24"/>
          <w:szCs w:val="24"/>
        </w:rPr>
        <w:t>A</w:t>
      </w:r>
      <w:r w:rsidRPr="003D0309">
        <w:rPr>
          <w:rFonts w:asciiTheme="majorBidi" w:hAnsiTheme="majorBidi" w:cstheme="majorBidi"/>
          <w:sz w:val="24"/>
          <w:szCs w:val="24"/>
        </w:rPr>
        <w:t xml:space="preserve">) et </w:t>
      </w:r>
      <w:r>
        <w:rPr>
          <w:rFonts w:asciiTheme="majorBidi" w:hAnsiTheme="majorBidi" w:cstheme="majorBidi"/>
          <w:sz w:val="24"/>
          <w:szCs w:val="24"/>
        </w:rPr>
        <w:t xml:space="preserve">de l’ACTH </w:t>
      </w:r>
      <w:r w:rsidRPr="003D0309">
        <w:rPr>
          <w:rFonts w:asciiTheme="majorBidi" w:hAnsiTheme="majorBidi" w:cstheme="majorBidi"/>
          <w:sz w:val="24"/>
          <w:szCs w:val="24"/>
        </w:rPr>
        <w:t xml:space="preserve">des cellules corticotropes, </w:t>
      </w:r>
      <w:r>
        <w:rPr>
          <w:rFonts w:asciiTheme="majorBidi" w:hAnsiTheme="majorBidi" w:cstheme="majorBidi"/>
          <w:sz w:val="24"/>
          <w:szCs w:val="24"/>
        </w:rPr>
        <w:t xml:space="preserve">2) </w:t>
      </w:r>
      <w:r w:rsidRPr="003D0309">
        <w:rPr>
          <w:rFonts w:asciiTheme="majorBidi" w:hAnsiTheme="majorBidi" w:cstheme="majorBidi"/>
          <w:sz w:val="24"/>
          <w:szCs w:val="24"/>
        </w:rPr>
        <w:t>au niveau surrénalien par une analyse histomorphométriqu</w:t>
      </w:r>
      <w:r>
        <w:rPr>
          <w:rFonts w:asciiTheme="majorBidi" w:hAnsiTheme="majorBidi" w:cstheme="majorBidi"/>
          <w:sz w:val="24"/>
          <w:szCs w:val="24"/>
        </w:rPr>
        <w:t>e du cortex et une localisation immunohistochimique des RA</w:t>
      </w:r>
      <w:r w:rsidRPr="003D0309">
        <w:rPr>
          <w:rFonts w:asciiTheme="majorBidi" w:hAnsiTheme="majorBidi" w:cstheme="majorBidi"/>
          <w:sz w:val="24"/>
          <w:szCs w:val="24"/>
        </w:rPr>
        <w:t xml:space="preserve"> et enfin </w:t>
      </w:r>
      <w:r>
        <w:rPr>
          <w:rFonts w:asciiTheme="majorBidi" w:hAnsiTheme="majorBidi" w:cstheme="majorBidi"/>
          <w:sz w:val="24"/>
          <w:szCs w:val="24"/>
        </w:rPr>
        <w:t xml:space="preserve">3) par l’établissement des </w:t>
      </w:r>
      <w:r w:rsidRPr="003D0309">
        <w:rPr>
          <w:rFonts w:asciiTheme="majorBidi" w:hAnsiTheme="majorBidi" w:cstheme="majorBidi"/>
          <w:sz w:val="24"/>
          <w:szCs w:val="24"/>
        </w:rPr>
        <w:t>profils hormonaux et métaboliques</w:t>
      </w:r>
      <w:r>
        <w:rPr>
          <w:rFonts w:asciiTheme="majorBidi" w:hAnsiTheme="majorBidi" w:cstheme="majorBidi"/>
          <w:sz w:val="24"/>
          <w:szCs w:val="24"/>
        </w:rPr>
        <w:t>.</w:t>
      </w:r>
      <w:r w:rsidRPr="003D0309">
        <w:rPr>
          <w:rFonts w:asciiTheme="majorBidi" w:hAnsiTheme="majorBidi" w:cstheme="majorBidi"/>
          <w:sz w:val="24"/>
          <w:szCs w:val="24"/>
        </w:rPr>
        <w:t xml:space="preserve"> </w:t>
      </w:r>
      <w:r>
        <w:rPr>
          <w:rFonts w:asciiTheme="majorBidi" w:hAnsiTheme="majorBidi" w:cstheme="majorBidi"/>
          <w:sz w:val="24"/>
          <w:szCs w:val="24"/>
        </w:rPr>
        <w:t>L</w:t>
      </w:r>
      <w:r w:rsidRPr="003D0309">
        <w:rPr>
          <w:rFonts w:asciiTheme="majorBidi" w:hAnsiTheme="majorBidi" w:cstheme="majorBidi"/>
          <w:sz w:val="24"/>
          <w:szCs w:val="24"/>
        </w:rPr>
        <w:t xml:space="preserve">’axe HHC chez </w:t>
      </w:r>
      <w:r w:rsidRPr="003D0309">
        <w:rPr>
          <w:rFonts w:asciiTheme="majorBidi" w:hAnsiTheme="majorBidi" w:cstheme="majorBidi"/>
          <w:i/>
          <w:iCs/>
          <w:sz w:val="24"/>
          <w:szCs w:val="24"/>
        </w:rPr>
        <w:t>Meriones libycus</w:t>
      </w:r>
      <w:r w:rsidRPr="003D0309">
        <w:rPr>
          <w:rFonts w:asciiTheme="majorBidi" w:hAnsiTheme="majorBidi" w:cstheme="majorBidi"/>
          <w:sz w:val="24"/>
          <w:szCs w:val="24"/>
        </w:rPr>
        <w:t xml:space="preserve"> est très actif au cours de la période de repos sexuel aussi bien au niveau</w:t>
      </w:r>
      <w:r>
        <w:rPr>
          <w:rFonts w:asciiTheme="majorBidi" w:hAnsiTheme="majorBidi" w:cstheme="majorBidi"/>
          <w:sz w:val="24"/>
          <w:szCs w:val="24"/>
        </w:rPr>
        <w:t xml:space="preserve"> central que périphérique conduisant à des taux plasmatiques élevés en ACTH et en cortisol (respectivement +364%, p</w:t>
      </w:r>
      <w:r w:rsidRPr="003D0309">
        <w:rPr>
          <w:rFonts w:asciiTheme="majorBidi" w:hAnsiTheme="majorBidi" w:cstheme="majorBidi"/>
          <w:sz w:val="24"/>
          <w:szCs w:val="24"/>
        </w:rPr>
        <w:t>&lt;</w:t>
      </w:r>
      <w:r>
        <w:rPr>
          <w:rFonts w:asciiTheme="majorBidi" w:hAnsiTheme="majorBidi" w:cstheme="majorBidi"/>
          <w:sz w:val="24"/>
          <w:szCs w:val="24"/>
        </w:rPr>
        <w:t>0,001 et +</w:t>
      </w:r>
      <w:r w:rsidR="00781541">
        <w:rPr>
          <w:rFonts w:asciiTheme="majorBidi" w:hAnsiTheme="majorBidi" w:cstheme="majorBidi"/>
          <w:sz w:val="24"/>
          <w:szCs w:val="24"/>
        </w:rPr>
        <w:t>390%, p=0,01</w:t>
      </w:r>
      <w:r>
        <w:rPr>
          <w:rFonts w:asciiTheme="majorBidi" w:hAnsiTheme="majorBidi" w:cstheme="majorBidi"/>
          <w:sz w:val="24"/>
          <w:szCs w:val="24"/>
        </w:rPr>
        <w:t>).</w:t>
      </w:r>
      <w:r w:rsidRPr="003D0309">
        <w:rPr>
          <w:rFonts w:asciiTheme="majorBidi" w:hAnsiTheme="majorBidi" w:cstheme="majorBidi"/>
          <w:sz w:val="24"/>
          <w:szCs w:val="24"/>
        </w:rPr>
        <w:t xml:space="preserve"> La castration, en période d’activité sexuelle, induit </w:t>
      </w:r>
      <w:r>
        <w:rPr>
          <w:rFonts w:asciiTheme="majorBidi" w:hAnsiTheme="majorBidi" w:cstheme="majorBidi"/>
          <w:sz w:val="24"/>
          <w:szCs w:val="24"/>
        </w:rPr>
        <w:t>également une hypersécrétion d’ACTH conduisant à</w:t>
      </w:r>
      <w:r w:rsidRPr="003D0309">
        <w:rPr>
          <w:rFonts w:asciiTheme="majorBidi" w:hAnsiTheme="majorBidi" w:cstheme="majorBidi"/>
          <w:sz w:val="24"/>
          <w:szCs w:val="24"/>
        </w:rPr>
        <w:t xml:space="preserve"> une libération du cortisol. Le cortex surrénal subit d’importants remaniements structuraux après castration en particulier </w:t>
      </w:r>
      <w:r>
        <w:rPr>
          <w:rFonts w:asciiTheme="majorBidi" w:hAnsiTheme="majorBidi" w:cstheme="majorBidi"/>
          <w:sz w:val="24"/>
          <w:szCs w:val="24"/>
        </w:rPr>
        <w:t xml:space="preserve">une régression de la zone fasciculée et une hypertrophie de la réticulée. </w:t>
      </w:r>
      <w:r w:rsidRPr="003D0309">
        <w:rPr>
          <w:rFonts w:asciiTheme="majorBidi" w:hAnsiTheme="majorBidi" w:cstheme="majorBidi"/>
          <w:sz w:val="24"/>
          <w:szCs w:val="24"/>
        </w:rPr>
        <w:t xml:space="preserve">La testostérone exogène </w:t>
      </w:r>
      <w:r>
        <w:rPr>
          <w:rFonts w:asciiTheme="majorBidi" w:hAnsiTheme="majorBidi" w:cstheme="majorBidi"/>
          <w:sz w:val="24"/>
          <w:szCs w:val="24"/>
        </w:rPr>
        <w:t>induit une réduction de la concentration plasmatique en ACTH et provoque une prolifération tissulaire corticosurrénalienne</w:t>
      </w:r>
      <w:r w:rsidRPr="003D0309">
        <w:rPr>
          <w:rFonts w:asciiTheme="majorBidi" w:hAnsiTheme="majorBidi" w:cstheme="majorBidi"/>
          <w:sz w:val="24"/>
          <w:szCs w:val="24"/>
        </w:rPr>
        <w:t xml:space="preserve"> </w:t>
      </w:r>
      <w:r>
        <w:rPr>
          <w:rFonts w:asciiTheme="majorBidi" w:hAnsiTheme="majorBidi" w:cstheme="majorBidi"/>
          <w:sz w:val="24"/>
          <w:szCs w:val="24"/>
        </w:rPr>
        <w:t xml:space="preserve">aussi bien chez le castré que chez le témoin traité en période de repos sexuel. Ces actions s’exercent </w:t>
      </w:r>
      <w:r w:rsidRPr="003D0309">
        <w:rPr>
          <w:rFonts w:asciiTheme="majorBidi" w:hAnsiTheme="majorBidi" w:cstheme="majorBidi"/>
          <w:sz w:val="24"/>
          <w:szCs w:val="24"/>
        </w:rPr>
        <w:t xml:space="preserve">probablement par </w:t>
      </w:r>
      <w:r>
        <w:rPr>
          <w:rFonts w:asciiTheme="majorBidi" w:hAnsiTheme="majorBidi" w:cstheme="majorBidi"/>
          <w:sz w:val="24"/>
          <w:szCs w:val="24"/>
        </w:rPr>
        <w:t xml:space="preserve">le biais des RA, mis en évidence par immunohistochimie et retrouvés au niveau hypophysaire au sein des cellules corticotropes ainsi qu’au niveau des trois zones corticosurrénaliennes. </w:t>
      </w:r>
      <w:r w:rsidRPr="003D0309">
        <w:rPr>
          <w:rFonts w:asciiTheme="majorBidi" w:hAnsiTheme="majorBidi" w:cstheme="majorBidi"/>
          <w:sz w:val="24"/>
          <w:szCs w:val="24"/>
        </w:rPr>
        <w:t>L'analyse de</w:t>
      </w:r>
      <w:r>
        <w:rPr>
          <w:rFonts w:asciiTheme="majorBidi" w:hAnsiTheme="majorBidi" w:cstheme="majorBidi"/>
          <w:sz w:val="24"/>
          <w:szCs w:val="24"/>
        </w:rPr>
        <w:t xml:space="preserve"> la densité de l’immunomarquage des RA dans le cortex surrénal suggère un effet direct de la testostérone sur le remodelage structural corticosurrénalien. Pris globalement, ces effets permettent des ajustements homéostatiques au cours de l’année sous le contrôle de l’axe HHC, augmentant la condition physique individuelle dans les conditions extrêmes dans lesquelles vit cette espèce saharienne dont l’activité sexuelle est limitée à la période de l’année la plus favorable à la survie des petits.   </w:t>
      </w:r>
      <w:r w:rsidRPr="003D0309">
        <w:rPr>
          <w:rFonts w:asciiTheme="majorBidi" w:hAnsiTheme="majorBidi" w:cstheme="majorBidi"/>
          <w:sz w:val="24"/>
          <w:szCs w:val="24"/>
        </w:rPr>
        <w:t xml:space="preserve"> </w:t>
      </w:r>
    </w:p>
    <w:p w:rsidR="00130953" w:rsidRPr="003D0309" w:rsidRDefault="00130953" w:rsidP="00130953">
      <w:pPr>
        <w:spacing w:after="0" w:line="240" w:lineRule="auto"/>
        <w:ind w:firstLine="708"/>
        <w:rPr>
          <w:rFonts w:asciiTheme="majorBidi" w:hAnsiTheme="majorBidi" w:cstheme="majorBidi"/>
          <w:sz w:val="24"/>
          <w:szCs w:val="24"/>
        </w:rPr>
      </w:pPr>
    </w:p>
    <w:p w:rsidR="003B12A8" w:rsidRDefault="003B12A8"/>
    <w:sectPr w:rsidR="003B12A8" w:rsidSect="00745BFC">
      <w:headerReference w:type="default" r:id="rId6"/>
      <w:footerReference w:type="default" r:id="rId7"/>
      <w:pgSz w:w="11906" w:h="16838"/>
      <w:pgMar w:top="1417" w:right="1417" w:bottom="1417" w:left="1417" w:header="851"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45D5" w:rsidRDefault="00D245D5" w:rsidP="00DE584E">
      <w:pPr>
        <w:spacing w:after="0" w:line="240" w:lineRule="auto"/>
      </w:pPr>
      <w:r>
        <w:separator/>
      </w:r>
    </w:p>
  </w:endnote>
  <w:endnote w:type="continuationSeparator" w:id="0">
    <w:p w:rsidR="00D245D5" w:rsidRDefault="00D245D5" w:rsidP="00DE58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0A7F" w:rsidRDefault="00D245D5">
    <w:pPr>
      <w:pStyle w:val="Pieddepage"/>
      <w:jc w:val="right"/>
    </w:pPr>
  </w:p>
  <w:p w:rsidR="001C0A7F" w:rsidRDefault="00D245D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45D5" w:rsidRDefault="00D245D5" w:rsidP="00DE584E">
      <w:pPr>
        <w:spacing w:after="0" w:line="240" w:lineRule="auto"/>
      </w:pPr>
      <w:r>
        <w:separator/>
      </w:r>
    </w:p>
  </w:footnote>
  <w:footnote w:type="continuationSeparator" w:id="0">
    <w:p w:rsidR="00D245D5" w:rsidRDefault="00D245D5" w:rsidP="00DE584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4627" w:rsidRDefault="00674627"/>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302"/>
    </w:tblGrid>
    <w:tr w:rsidR="001C0A7F" w:rsidTr="00140BAC">
      <w:trPr>
        <w:trHeight w:val="288"/>
      </w:trPr>
      <w:tc>
        <w:tcPr>
          <w:tcW w:w="9302" w:type="dxa"/>
        </w:tcPr>
        <w:p w:rsidR="001C0A7F" w:rsidRPr="00381FC6" w:rsidRDefault="00D245D5" w:rsidP="00E02CED">
          <w:pPr>
            <w:pStyle w:val="En-tte"/>
            <w:jc w:val="both"/>
            <w:rPr>
              <w:rFonts w:ascii="Times New Roman" w:eastAsiaTheme="majorEastAsia" w:hAnsi="Times New Roman" w:cs="Times New Roman"/>
            </w:rPr>
          </w:pPr>
        </w:p>
      </w:tc>
    </w:tr>
  </w:tbl>
  <w:p w:rsidR="001C0A7F" w:rsidRPr="00E02CED" w:rsidRDefault="00D245D5" w:rsidP="00E02CED">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953"/>
    <w:rsid w:val="0005623E"/>
    <w:rsid w:val="00130953"/>
    <w:rsid w:val="003B12A8"/>
    <w:rsid w:val="003F1CDC"/>
    <w:rsid w:val="005873FF"/>
    <w:rsid w:val="005D231D"/>
    <w:rsid w:val="00674627"/>
    <w:rsid w:val="00707D50"/>
    <w:rsid w:val="00781541"/>
    <w:rsid w:val="00B93655"/>
    <w:rsid w:val="00D245D5"/>
    <w:rsid w:val="00D752BA"/>
    <w:rsid w:val="00DE584E"/>
    <w:rsid w:val="00E1050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B7D9C04-D5A2-4339-BF2B-C80376D82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0953"/>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30953"/>
    <w:pPr>
      <w:tabs>
        <w:tab w:val="center" w:pos="4536"/>
        <w:tab w:val="right" w:pos="9072"/>
      </w:tabs>
      <w:spacing w:after="0" w:line="240" w:lineRule="auto"/>
    </w:pPr>
  </w:style>
  <w:style w:type="character" w:customStyle="1" w:styleId="En-tteCar">
    <w:name w:val="En-tête Car"/>
    <w:basedOn w:val="Policepardfaut"/>
    <w:link w:val="En-tte"/>
    <w:uiPriority w:val="99"/>
    <w:rsid w:val="00130953"/>
  </w:style>
  <w:style w:type="paragraph" w:styleId="Pieddepage">
    <w:name w:val="footer"/>
    <w:basedOn w:val="Normal"/>
    <w:link w:val="PieddepageCar"/>
    <w:uiPriority w:val="99"/>
    <w:unhideWhenUsed/>
    <w:rsid w:val="0013095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309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406</Words>
  <Characters>2233</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2634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Sail</dc:creator>
  <cp:lastModifiedBy>naima</cp:lastModifiedBy>
  <cp:revision>7</cp:revision>
  <dcterms:created xsi:type="dcterms:W3CDTF">2017-09-27T15:34:00Z</dcterms:created>
  <dcterms:modified xsi:type="dcterms:W3CDTF">2018-06-27T11:02:00Z</dcterms:modified>
</cp:coreProperties>
</file>