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6EE8" w:rsidRDefault="000F6EE8" w:rsidP="000F6EE8">
      <w:pPr>
        <w:pStyle w:val="Titre1"/>
        <w:jc w:val="left"/>
        <w:rPr>
          <w:color w:val="000000"/>
        </w:rPr>
      </w:pPr>
      <w:r>
        <w:rPr>
          <w:color w:val="000000"/>
        </w:rPr>
        <w:t>Résumé</w:t>
      </w:r>
    </w:p>
    <w:p w:rsidR="000F6EE8" w:rsidRDefault="000F6EE8" w:rsidP="000F6EE8">
      <w:pPr>
        <w:jc w:val="both"/>
        <w:rPr>
          <w:color w:val="000000"/>
          <w:sz w:val="24"/>
        </w:rPr>
      </w:pPr>
    </w:p>
    <w:p w:rsidR="000F6EE8" w:rsidRDefault="000F6EE8" w:rsidP="000F6EE8">
      <w:pPr>
        <w:pStyle w:val="Corpsdetexte"/>
        <w:jc w:val="both"/>
        <w:rPr>
          <w:b w:val="0"/>
          <w:color w:val="000000"/>
        </w:rPr>
      </w:pPr>
      <w:r>
        <w:rPr>
          <w:b w:val="0"/>
          <w:color w:val="000000"/>
        </w:rPr>
        <w:t xml:space="preserve">En marge de la chaîne atlasique orientale, la région d’El </w:t>
      </w:r>
      <w:proofErr w:type="spellStart"/>
      <w:r>
        <w:rPr>
          <w:b w:val="0"/>
          <w:color w:val="000000"/>
        </w:rPr>
        <w:t>Ouasta</w:t>
      </w:r>
      <w:proofErr w:type="spellEnd"/>
      <w:r>
        <w:rPr>
          <w:b w:val="0"/>
          <w:color w:val="000000"/>
        </w:rPr>
        <w:t xml:space="preserve"> correspond à la moitié ouest du plus septentrional des anticlinaux à cœur </w:t>
      </w:r>
      <w:proofErr w:type="spellStart"/>
      <w:r>
        <w:rPr>
          <w:b w:val="0"/>
          <w:color w:val="000000"/>
        </w:rPr>
        <w:t>diapirique</w:t>
      </w:r>
      <w:proofErr w:type="spellEnd"/>
      <w:r>
        <w:rPr>
          <w:b w:val="0"/>
          <w:color w:val="000000"/>
        </w:rPr>
        <w:t xml:space="preserve"> appartenant au bâti atlasique du NE de l’Algérie.</w:t>
      </w:r>
    </w:p>
    <w:p w:rsidR="000F6EE8" w:rsidRDefault="000F6EE8" w:rsidP="000F6EE8">
      <w:pPr>
        <w:pStyle w:val="Corpsdetexte"/>
        <w:jc w:val="both"/>
        <w:rPr>
          <w:b w:val="0"/>
          <w:color w:val="000000"/>
        </w:rPr>
      </w:pPr>
    </w:p>
    <w:p w:rsidR="000F6EE8" w:rsidRDefault="000F6EE8" w:rsidP="000F6EE8">
      <w:pPr>
        <w:pStyle w:val="Corpsdetexte"/>
        <w:jc w:val="both"/>
        <w:rPr>
          <w:b w:val="0"/>
          <w:color w:val="000000"/>
        </w:rPr>
      </w:pPr>
      <w:r>
        <w:rPr>
          <w:b w:val="0"/>
          <w:color w:val="000000"/>
        </w:rPr>
        <w:t xml:space="preserve">Cette région recèle des concentrations polymétalliques à Pb-Zn, Fe (Ba-Sr) dont leur proximité par rapport au Trias intrusif en fait un exemple type de gîtes </w:t>
      </w:r>
      <w:proofErr w:type="spellStart"/>
      <w:r>
        <w:rPr>
          <w:b w:val="0"/>
          <w:color w:val="000000"/>
        </w:rPr>
        <w:t>péridiapiriques</w:t>
      </w:r>
      <w:proofErr w:type="spellEnd"/>
      <w:r>
        <w:rPr>
          <w:b w:val="0"/>
          <w:color w:val="000000"/>
        </w:rPr>
        <w:t xml:space="preserve">. Ces concentrations se trouvent encaissées dans la couverture  crétacée ou bien liées à la partie corticale du diapir d’El </w:t>
      </w:r>
      <w:proofErr w:type="spellStart"/>
      <w:r>
        <w:rPr>
          <w:b w:val="0"/>
          <w:color w:val="000000"/>
        </w:rPr>
        <w:t>Ouasta</w:t>
      </w:r>
      <w:proofErr w:type="spellEnd"/>
      <w:r>
        <w:rPr>
          <w:b w:val="0"/>
          <w:color w:val="000000"/>
        </w:rPr>
        <w:t xml:space="preserve">, intensément affectés par </w:t>
      </w:r>
      <w:proofErr w:type="gramStart"/>
      <w:r>
        <w:rPr>
          <w:b w:val="0"/>
          <w:color w:val="000000"/>
        </w:rPr>
        <w:t>la</w:t>
      </w:r>
      <w:proofErr w:type="gramEnd"/>
      <w:r>
        <w:rPr>
          <w:b w:val="0"/>
          <w:color w:val="000000"/>
        </w:rPr>
        <w:t xml:space="preserve"> tectonique néogène.</w:t>
      </w:r>
    </w:p>
    <w:p w:rsidR="000F6EE8" w:rsidRDefault="000F6EE8" w:rsidP="000F6EE8">
      <w:pPr>
        <w:pStyle w:val="Corpsdetexte"/>
        <w:jc w:val="both"/>
        <w:rPr>
          <w:b w:val="0"/>
          <w:color w:val="000000"/>
        </w:rPr>
      </w:pPr>
    </w:p>
    <w:p w:rsidR="000F6EE8" w:rsidRDefault="000F6EE8" w:rsidP="000F6EE8">
      <w:pPr>
        <w:pStyle w:val="Corpsdetexte"/>
        <w:jc w:val="both"/>
        <w:rPr>
          <w:b w:val="0"/>
          <w:color w:val="000000"/>
        </w:rPr>
      </w:pPr>
      <w:r>
        <w:rPr>
          <w:b w:val="0"/>
          <w:color w:val="000000"/>
        </w:rPr>
        <w:t xml:space="preserve">L’examen géologique et </w:t>
      </w:r>
      <w:proofErr w:type="spellStart"/>
      <w:r>
        <w:rPr>
          <w:b w:val="0"/>
          <w:color w:val="000000"/>
        </w:rPr>
        <w:t>gîtologique</w:t>
      </w:r>
      <w:proofErr w:type="spellEnd"/>
      <w:r>
        <w:rPr>
          <w:b w:val="0"/>
          <w:color w:val="000000"/>
        </w:rPr>
        <w:t xml:space="preserve"> de ces concentrations minérales montre globalement la même </w:t>
      </w:r>
      <w:proofErr w:type="spellStart"/>
      <w:r>
        <w:rPr>
          <w:b w:val="0"/>
          <w:color w:val="000000"/>
        </w:rPr>
        <w:t>paragenèse</w:t>
      </w:r>
      <w:proofErr w:type="spellEnd"/>
      <w:r>
        <w:rPr>
          <w:b w:val="0"/>
          <w:color w:val="000000"/>
        </w:rPr>
        <w:t xml:space="preserve"> (pyrite, marcasite, sphalérite, galène, barytine, </w:t>
      </w:r>
      <w:proofErr w:type="spellStart"/>
      <w:r>
        <w:rPr>
          <w:b w:val="0"/>
          <w:color w:val="000000"/>
        </w:rPr>
        <w:t>célestine</w:t>
      </w:r>
      <w:proofErr w:type="spellEnd"/>
      <w:r>
        <w:rPr>
          <w:b w:val="0"/>
          <w:color w:val="000000"/>
        </w:rPr>
        <w:t>) qui se présente sous trois aspects :</w:t>
      </w:r>
    </w:p>
    <w:p w:rsidR="000F6EE8" w:rsidRDefault="000F6EE8" w:rsidP="000F6EE8">
      <w:pPr>
        <w:pStyle w:val="Corpsdetexte"/>
        <w:jc w:val="both"/>
        <w:rPr>
          <w:b w:val="0"/>
          <w:color w:val="000000"/>
        </w:rPr>
      </w:pPr>
    </w:p>
    <w:p w:rsidR="000F6EE8" w:rsidRDefault="000F6EE8" w:rsidP="000F6EE8">
      <w:pPr>
        <w:pStyle w:val="Corpsdetexte"/>
        <w:numPr>
          <w:ilvl w:val="0"/>
          <w:numId w:val="1"/>
        </w:numPr>
        <w:jc w:val="both"/>
        <w:rPr>
          <w:b w:val="0"/>
          <w:color w:val="000000"/>
        </w:rPr>
      </w:pPr>
      <w:r>
        <w:rPr>
          <w:b w:val="0"/>
          <w:color w:val="000000"/>
        </w:rPr>
        <w:t xml:space="preserve">Une minéralisation stratiforme dans les lamines carbonatées riches en matière organique de la formation </w:t>
      </w:r>
      <w:proofErr w:type="spellStart"/>
      <w:r>
        <w:rPr>
          <w:b w:val="0"/>
          <w:color w:val="000000"/>
        </w:rPr>
        <w:t>Bahloul</w:t>
      </w:r>
      <w:proofErr w:type="spellEnd"/>
      <w:r>
        <w:rPr>
          <w:b w:val="0"/>
          <w:color w:val="000000"/>
        </w:rPr>
        <w:t xml:space="preserve"> (passage Cénomanien-turonien). Ce type de minéralisation est caractérisé par la finesse des minéraux sulfurés disséminés dans les lamines </w:t>
      </w:r>
      <w:proofErr w:type="spellStart"/>
      <w:r>
        <w:rPr>
          <w:b w:val="0"/>
          <w:color w:val="000000"/>
        </w:rPr>
        <w:t>biomicritiques</w:t>
      </w:r>
      <w:proofErr w:type="spellEnd"/>
      <w:r>
        <w:rPr>
          <w:b w:val="0"/>
          <w:color w:val="000000"/>
        </w:rPr>
        <w:t xml:space="preserve"> ou bien occupant le cœur des cristaux de </w:t>
      </w:r>
      <w:proofErr w:type="spellStart"/>
      <w:r>
        <w:rPr>
          <w:b w:val="0"/>
          <w:color w:val="000000"/>
        </w:rPr>
        <w:t>dolosparites</w:t>
      </w:r>
      <w:proofErr w:type="spellEnd"/>
      <w:r>
        <w:rPr>
          <w:b w:val="0"/>
          <w:color w:val="000000"/>
        </w:rPr>
        <w:t xml:space="preserve"> </w:t>
      </w:r>
      <w:proofErr w:type="spellStart"/>
      <w:r>
        <w:rPr>
          <w:b w:val="0"/>
          <w:color w:val="000000"/>
        </w:rPr>
        <w:t>diagénétiques</w:t>
      </w:r>
      <w:proofErr w:type="spellEnd"/>
      <w:r>
        <w:rPr>
          <w:b w:val="0"/>
          <w:color w:val="000000"/>
        </w:rPr>
        <w:t xml:space="preserve">. </w:t>
      </w:r>
    </w:p>
    <w:p w:rsidR="000F6EE8" w:rsidRDefault="000F6EE8" w:rsidP="000F6EE8">
      <w:pPr>
        <w:pStyle w:val="Corpsdetexte"/>
        <w:jc w:val="both"/>
        <w:rPr>
          <w:b w:val="0"/>
          <w:color w:val="000000"/>
        </w:rPr>
      </w:pPr>
    </w:p>
    <w:p w:rsidR="000F6EE8" w:rsidRDefault="000F6EE8" w:rsidP="000F6EE8">
      <w:pPr>
        <w:pStyle w:val="Corpsdetexte"/>
        <w:numPr>
          <w:ilvl w:val="0"/>
          <w:numId w:val="2"/>
        </w:numPr>
        <w:jc w:val="both"/>
        <w:rPr>
          <w:b w:val="0"/>
          <w:color w:val="000000"/>
        </w:rPr>
      </w:pPr>
      <w:r>
        <w:rPr>
          <w:b w:val="0"/>
          <w:color w:val="000000"/>
        </w:rPr>
        <w:t xml:space="preserve">Une minéralisation sous forme d’amas </w:t>
      </w:r>
      <w:proofErr w:type="spellStart"/>
      <w:r>
        <w:rPr>
          <w:b w:val="0"/>
          <w:color w:val="000000"/>
        </w:rPr>
        <w:t>stratoïde</w:t>
      </w:r>
      <w:proofErr w:type="spellEnd"/>
      <w:r>
        <w:rPr>
          <w:b w:val="0"/>
          <w:color w:val="000000"/>
        </w:rPr>
        <w:t xml:space="preserve"> dans la zone de transition Trias-Crétacé qui correspond à la zone corticale externe du diapir d’El </w:t>
      </w:r>
      <w:proofErr w:type="spellStart"/>
      <w:r>
        <w:rPr>
          <w:b w:val="0"/>
          <w:color w:val="000000"/>
        </w:rPr>
        <w:t>Ouasta</w:t>
      </w:r>
      <w:proofErr w:type="spellEnd"/>
      <w:r>
        <w:rPr>
          <w:b w:val="0"/>
          <w:color w:val="000000"/>
        </w:rPr>
        <w:t xml:space="preserve">. Elle est caractérisée par l’apparition de minéraux sulfatés (barytine I et </w:t>
      </w:r>
      <w:proofErr w:type="spellStart"/>
      <w:r>
        <w:rPr>
          <w:b w:val="0"/>
          <w:color w:val="000000"/>
        </w:rPr>
        <w:t>célestine</w:t>
      </w:r>
      <w:proofErr w:type="spellEnd"/>
      <w:r>
        <w:rPr>
          <w:b w:val="0"/>
          <w:color w:val="000000"/>
        </w:rPr>
        <w:t xml:space="preserve"> I) et d’une pyrite précoce, associés à une brèche carbonatée de dissolution. Celle-ci, est caractérisée par la présence de minéraux néoformés (quartz à inclusions d’anhydrite, dolomite </w:t>
      </w:r>
      <w:proofErr w:type="spellStart"/>
      <w:r>
        <w:rPr>
          <w:b w:val="0"/>
          <w:color w:val="000000"/>
        </w:rPr>
        <w:t>porphyroblastique</w:t>
      </w:r>
      <w:proofErr w:type="spellEnd"/>
      <w:r>
        <w:rPr>
          <w:b w:val="0"/>
          <w:color w:val="000000"/>
        </w:rPr>
        <w:t xml:space="preserve"> et </w:t>
      </w:r>
      <w:proofErr w:type="spellStart"/>
      <w:r>
        <w:rPr>
          <w:b w:val="0"/>
          <w:color w:val="000000"/>
        </w:rPr>
        <w:t>phyllites</w:t>
      </w:r>
      <w:proofErr w:type="spellEnd"/>
      <w:r>
        <w:rPr>
          <w:b w:val="0"/>
          <w:color w:val="000000"/>
        </w:rPr>
        <w:t xml:space="preserve">) typiques des séries triasiques d’enfouissement. </w:t>
      </w:r>
    </w:p>
    <w:p w:rsidR="000F6EE8" w:rsidRDefault="000F6EE8" w:rsidP="000F6EE8">
      <w:pPr>
        <w:pStyle w:val="Corpsdetexte"/>
        <w:jc w:val="left"/>
        <w:rPr>
          <w:b w:val="0"/>
          <w:color w:val="000000"/>
        </w:rPr>
      </w:pPr>
    </w:p>
    <w:p w:rsidR="000F6EE8" w:rsidRDefault="000F6EE8" w:rsidP="000F6EE8">
      <w:pPr>
        <w:pStyle w:val="Corpsdetexte"/>
        <w:jc w:val="left"/>
        <w:rPr>
          <w:b w:val="0"/>
          <w:color w:val="000000"/>
        </w:rPr>
      </w:pPr>
      <w:r>
        <w:rPr>
          <w:b w:val="0"/>
          <w:color w:val="000000"/>
        </w:rPr>
        <w:t xml:space="preserve">      Cette  minéralisation  intervient tôt à partir des phénomènes de dissolution-recristallisation   </w:t>
      </w:r>
    </w:p>
    <w:p w:rsidR="000F6EE8" w:rsidRDefault="000F6EE8" w:rsidP="000F6EE8">
      <w:pPr>
        <w:pStyle w:val="Corpsdetexte"/>
        <w:jc w:val="left"/>
        <w:rPr>
          <w:b w:val="0"/>
          <w:color w:val="000000"/>
        </w:rPr>
      </w:pPr>
      <w:r>
        <w:rPr>
          <w:b w:val="0"/>
          <w:color w:val="000000"/>
        </w:rPr>
        <w:t xml:space="preserve">      </w:t>
      </w:r>
      <w:proofErr w:type="gramStart"/>
      <w:r>
        <w:rPr>
          <w:b w:val="0"/>
          <w:color w:val="000000"/>
        </w:rPr>
        <w:t>et</w:t>
      </w:r>
      <w:proofErr w:type="gramEnd"/>
      <w:r>
        <w:rPr>
          <w:b w:val="0"/>
          <w:color w:val="000000"/>
        </w:rPr>
        <w:t xml:space="preserve"> représente une partie intégrante de l’évolution du « cap-rock ».</w:t>
      </w:r>
    </w:p>
    <w:p w:rsidR="000F6EE8" w:rsidRDefault="000F6EE8" w:rsidP="000F6EE8">
      <w:pPr>
        <w:pStyle w:val="Corpsdetexte"/>
        <w:jc w:val="left"/>
        <w:rPr>
          <w:b w:val="0"/>
          <w:color w:val="000000"/>
        </w:rPr>
      </w:pPr>
    </w:p>
    <w:p w:rsidR="000F6EE8" w:rsidRDefault="000F6EE8" w:rsidP="000F6EE8">
      <w:pPr>
        <w:pStyle w:val="Corpsdetexte"/>
        <w:numPr>
          <w:ilvl w:val="0"/>
          <w:numId w:val="3"/>
        </w:numPr>
        <w:jc w:val="both"/>
        <w:rPr>
          <w:b w:val="0"/>
          <w:color w:val="000000"/>
        </w:rPr>
      </w:pPr>
      <w:r>
        <w:rPr>
          <w:b w:val="0"/>
          <w:color w:val="000000"/>
        </w:rPr>
        <w:t xml:space="preserve">Une minéralisation tardive de cassures, en amas </w:t>
      </w:r>
      <w:proofErr w:type="spellStart"/>
      <w:r>
        <w:rPr>
          <w:b w:val="0"/>
          <w:color w:val="000000"/>
        </w:rPr>
        <w:t>bréchiques</w:t>
      </w:r>
      <w:proofErr w:type="spellEnd"/>
      <w:r>
        <w:rPr>
          <w:b w:val="0"/>
          <w:color w:val="000000"/>
        </w:rPr>
        <w:t xml:space="preserve"> et en veinules, bien marquée au niveau de la mine d’El </w:t>
      </w:r>
      <w:proofErr w:type="spellStart"/>
      <w:r>
        <w:rPr>
          <w:b w:val="0"/>
          <w:color w:val="000000"/>
        </w:rPr>
        <w:t>Ouasta</w:t>
      </w:r>
      <w:proofErr w:type="spellEnd"/>
      <w:r>
        <w:rPr>
          <w:b w:val="0"/>
          <w:color w:val="000000"/>
        </w:rPr>
        <w:t xml:space="preserve"> anciennement exploitée pour le Zn-Pb. Elle est liée à une fracturation de direction principalement E-W, NW-SE et NE-SW, affectant la couverture crétacée et les formations triasiques. Les résultats de l’étude des inclusions fluides effectuée sur le quartz associé aux sulfures et aux sulfates, montrent un chimisme complexe (système H2O, </w:t>
      </w:r>
      <w:proofErr w:type="spellStart"/>
      <w:r>
        <w:rPr>
          <w:b w:val="0"/>
          <w:color w:val="000000"/>
        </w:rPr>
        <w:t>NaCl</w:t>
      </w:r>
      <w:proofErr w:type="spellEnd"/>
      <w:r>
        <w:rPr>
          <w:b w:val="0"/>
          <w:color w:val="000000"/>
        </w:rPr>
        <w:t xml:space="preserve">, Ca Cl2 : T° eutectique de -50 à –55C°) et d’autres parts des températures d’homogénéisation relativement élevées (+130 à +180C°) similaires aux résultats des inclusions fluides liées aux minéralisations tardives de l’Ouenza, </w:t>
      </w:r>
      <w:proofErr w:type="spellStart"/>
      <w:r>
        <w:rPr>
          <w:b w:val="0"/>
          <w:color w:val="000000"/>
        </w:rPr>
        <w:t>Mesloula</w:t>
      </w:r>
      <w:proofErr w:type="spellEnd"/>
      <w:r>
        <w:rPr>
          <w:b w:val="0"/>
          <w:color w:val="000000"/>
        </w:rPr>
        <w:t xml:space="preserve"> et </w:t>
      </w:r>
      <w:proofErr w:type="spellStart"/>
      <w:r>
        <w:rPr>
          <w:b w:val="0"/>
          <w:color w:val="000000"/>
        </w:rPr>
        <w:t>Hameimat</w:t>
      </w:r>
      <w:proofErr w:type="spellEnd"/>
      <w:r>
        <w:rPr>
          <w:b w:val="0"/>
          <w:color w:val="000000"/>
        </w:rPr>
        <w:t xml:space="preserve"> (</w:t>
      </w:r>
      <w:proofErr w:type="spellStart"/>
      <w:r>
        <w:rPr>
          <w:b w:val="0"/>
          <w:color w:val="000000"/>
        </w:rPr>
        <w:t>Akrour</w:t>
      </w:r>
      <w:proofErr w:type="spellEnd"/>
      <w:r>
        <w:rPr>
          <w:b w:val="0"/>
          <w:color w:val="000000"/>
        </w:rPr>
        <w:t>, 1991).</w:t>
      </w:r>
    </w:p>
    <w:p w:rsidR="000F6EE8" w:rsidRDefault="000F6EE8" w:rsidP="000F6EE8">
      <w:pPr>
        <w:pStyle w:val="Corpsdetexte"/>
        <w:jc w:val="both"/>
        <w:rPr>
          <w:b w:val="0"/>
          <w:color w:val="000000"/>
        </w:rPr>
      </w:pPr>
    </w:p>
    <w:p w:rsidR="000F6EE8" w:rsidRDefault="000F6EE8" w:rsidP="000F6EE8">
      <w:pPr>
        <w:pStyle w:val="Corpsdetexte2"/>
        <w:rPr>
          <w:color w:val="000000"/>
          <w:sz w:val="24"/>
        </w:rPr>
      </w:pPr>
      <w:r>
        <w:rPr>
          <w:color w:val="000000"/>
          <w:sz w:val="24"/>
        </w:rPr>
        <w:t xml:space="preserve">La localisation de concentrations minérales dans un bassin </w:t>
      </w:r>
      <w:proofErr w:type="spellStart"/>
      <w:r>
        <w:rPr>
          <w:color w:val="000000"/>
          <w:sz w:val="24"/>
        </w:rPr>
        <w:t>subsident</w:t>
      </w:r>
      <w:proofErr w:type="spellEnd"/>
      <w:r>
        <w:rPr>
          <w:color w:val="000000"/>
          <w:sz w:val="24"/>
        </w:rPr>
        <w:t xml:space="preserve"> à proximité d’un haut fond contrôlé par l’activité </w:t>
      </w:r>
      <w:proofErr w:type="spellStart"/>
      <w:r>
        <w:rPr>
          <w:color w:val="000000"/>
          <w:sz w:val="24"/>
        </w:rPr>
        <w:t>diapirique</w:t>
      </w:r>
      <w:proofErr w:type="spellEnd"/>
      <w:r>
        <w:rPr>
          <w:color w:val="000000"/>
          <w:sz w:val="24"/>
        </w:rPr>
        <w:t xml:space="preserve">, suggère le dépôt d’une minéralisation </w:t>
      </w:r>
      <w:proofErr w:type="spellStart"/>
      <w:r>
        <w:rPr>
          <w:color w:val="000000"/>
          <w:sz w:val="24"/>
        </w:rPr>
        <w:t>syn</w:t>
      </w:r>
      <w:proofErr w:type="spellEnd"/>
      <w:r>
        <w:rPr>
          <w:color w:val="000000"/>
          <w:sz w:val="24"/>
        </w:rPr>
        <w:t>-</w:t>
      </w:r>
      <w:proofErr w:type="spellStart"/>
      <w:r>
        <w:rPr>
          <w:color w:val="000000"/>
          <w:sz w:val="24"/>
        </w:rPr>
        <w:t>diagénétique</w:t>
      </w:r>
      <w:proofErr w:type="spellEnd"/>
      <w:r>
        <w:rPr>
          <w:color w:val="000000"/>
          <w:sz w:val="24"/>
        </w:rPr>
        <w:t xml:space="preserve"> de type « SEDEX » pendant ou peu après la sédimentation de </w:t>
      </w:r>
      <w:proofErr w:type="spellStart"/>
      <w:r>
        <w:rPr>
          <w:color w:val="000000"/>
          <w:sz w:val="24"/>
        </w:rPr>
        <w:t>Bahloul</w:t>
      </w:r>
      <w:proofErr w:type="spellEnd"/>
      <w:r>
        <w:rPr>
          <w:color w:val="000000"/>
          <w:sz w:val="24"/>
        </w:rPr>
        <w:t xml:space="preserve">. Ces dépôts se faisaient en même temps ou bien après ceux de la formation corticale du diapir d’El </w:t>
      </w:r>
      <w:proofErr w:type="spellStart"/>
      <w:r>
        <w:rPr>
          <w:color w:val="000000"/>
          <w:sz w:val="24"/>
        </w:rPr>
        <w:t>Ouasta</w:t>
      </w:r>
      <w:proofErr w:type="spellEnd"/>
      <w:r>
        <w:rPr>
          <w:color w:val="000000"/>
          <w:sz w:val="24"/>
        </w:rPr>
        <w:t xml:space="preserve"> « type cap-rock ». En fin, une remobilisation tectonique après la fermeture du bassin à l’Eocène-Miocène, ménage des fractures ouvertes  qui seront le réceptacle d’une minéralisation de même nature.</w:t>
      </w:r>
    </w:p>
    <w:p w:rsidR="000F6EE8" w:rsidRDefault="000F6EE8" w:rsidP="000F6EE8">
      <w:pPr>
        <w:rPr>
          <w:sz w:val="24"/>
        </w:rPr>
      </w:pPr>
    </w:p>
    <w:p w:rsidR="00F90AE9" w:rsidRPr="000F6EE8" w:rsidRDefault="00F90AE9" w:rsidP="000F6EE8">
      <w:pPr>
        <w:rPr>
          <w:rFonts w:hint="cs"/>
          <w:lang w:bidi="ar-DZ"/>
        </w:rPr>
      </w:pPr>
    </w:p>
    <w:sectPr w:rsidR="00F90AE9" w:rsidRPr="000F6EE8">
      <w:pgSz w:w="11906" w:h="16838"/>
      <w:pgMar w:top="1418" w:right="1134" w:bottom="1418" w:left="1701" w:header="720" w:footer="720" w:gutter="0"/>
      <w:cols w:space="72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43699"/>
    <w:multiLevelType w:val="singleLevel"/>
    <w:tmpl w:val="040C0001"/>
    <w:lvl w:ilvl="0">
      <w:start w:val="1"/>
      <w:numFmt w:val="bullet"/>
      <w:lvlText w:val=""/>
      <w:lvlJc w:val="left"/>
      <w:pPr>
        <w:tabs>
          <w:tab w:val="num" w:pos="360"/>
        </w:tabs>
        <w:ind w:left="360" w:hanging="360"/>
      </w:pPr>
      <w:rPr>
        <w:rFonts w:ascii="Symbol" w:hAnsi="Symbol" w:hint="default"/>
      </w:rPr>
    </w:lvl>
  </w:abstractNum>
  <w:abstractNum w:abstractNumId="1">
    <w:nsid w:val="41726C51"/>
    <w:multiLevelType w:val="singleLevel"/>
    <w:tmpl w:val="040C0001"/>
    <w:lvl w:ilvl="0">
      <w:start w:val="1"/>
      <w:numFmt w:val="bullet"/>
      <w:lvlText w:val=""/>
      <w:lvlJc w:val="left"/>
      <w:pPr>
        <w:tabs>
          <w:tab w:val="num" w:pos="360"/>
        </w:tabs>
        <w:ind w:left="360" w:hanging="360"/>
      </w:pPr>
      <w:rPr>
        <w:rFonts w:ascii="Symbol" w:hAnsi="Symbol" w:hint="default"/>
      </w:rPr>
    </w:lvl>
  </w:abstractNum>
  <w:abstractNum w:abstractNumId="2">
    <w:nsid w:val="4FC27F6D"/>
    <w:multiLevelType w:val="singleLevel"/>
    <w:tmpl w:val="040C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F6EE8"/>
    <w:rsid w:val="000F6EE8"/>
    <w:rsid w:val="006D5754"/>
    <w:rsid w:val="00F90AE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6EE8"/>
    <w:pPr>
      <w:spacing w:after="0" w:line="240" w:lineRule="auto"/>
    </w:pPr>
    <w:rPr>
      <w:rFonts w:ascii="Times New Roman" w:eastAsia="Times New Roman" w:hAnsi="Times New Roman" w:cs="Times New Roman"/>
      <w:sz w:val="20"/>
      <w:szCs w:val="20"/>
      <w:lang w:val="fr-FR"/>
    </w:rPr>
  </w:style>
  <w:style w:type="paragraph" w:styleId="Titre1">
    <w:name w:val="heading 1"/>
    <w:basedOn w:val="Normal"/>
    <w:next w:val="Normal"/>
    <w:link w:val="Titre1Car"/>
    <w:qFormat/>
    <w:rsid w:val="000F6EE8"/>
    <w:pPr>
      <w:keepNext/>
      <w:jc w:val="center"/>
      <w:outlineLvl w:val="0"/>
    </w:pPr>
    <w:rPr>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F6EE8"/>
    <w:rPr>
      <w:rFonts w:ascii="Times New Roman" w:eastAsia="Times New Roman" w:hAnsi="Times New Roman" w:cs="Times New Roman"/>
      <w:b/>
      <w:bCs/>
      <w:sz w:val="24"/>
      <w:szCs w:val="24"/>
      <w:lang w:val="fr-FR"/>
    </w:rPr>
  </w:style>
  <w:style w:type="paragraph" w:styleId="Corpsdetexte">
    <w:name w:val="Body Text"/>
    <w:basedOn w:val="Normal"/>
    <w:link w:val="CorpsdetexteCar"/>
    <w:semiHidden/>
    <w:rsid w:val="000F6EE8"/>
    <w:pPr>
      <w:jc w:val="center"/>
    </w:pPr>
    <w:rPr>
      <w:b/>
      <w:bCs/>
      <w:sz w:val="24"/>
      <w:szCs w:val="24"/>
    </w:rPr>
  </w:style>
  <w:style w:type="character" w:customStyle="1" w:styleId="CorpsdetexteCar">
    <w:name w:val="Corps de texte Car"/>
    <w:basedOn w:val="Policepardfaut"/>
    <w:link w:val="Corpsdetexte"/>
    <w:semiHidden/>
    <w:rsid w:val="000F6EE8"/>
    <w:rPr>
      <w:rFonts w:ascii="Times New Roman" w:eastAsia="Times New Roman" w:hAnsi="Times New Roman" w:cs="Times New Roman"/>
      <w:b/>
      <w:bCs/>
      <w:sz w:val="24"/>
      <w:szCs w:val="24"/>
      <w:lang w:val="fr-FR"/>
    </w:rPr>
  </w:style>
  <w:style w:type="paragraph" w:styleId="Corpsdetexte2">
    <w:name w:val="Body Text 2"/>
    <w:basedOn w:val="Normal"/>
    <w:link w:val="Corpsdetexte2Car"/>
    <w:semiHidden/>
    <w:rsid w:val="000F6EE8"/>
    <w:pPr>
      <w:jc w:val="both"/>
    </w:pPr>
  </w:style>
  <w:style w:type="character" w:customStyle="1" w:styleId="Corpsdetexte2Car">
    <w:name w:val="Corps de texte 2 Car"/>
    <w:basedOn w:val="Policepardfaut"/>
    <w:link w:val="Corpsdetexte2"/>
    <w:semiHidden/>
    <w:rsid w:val="000F6EE8"/>
    <w:rPr>
      <w:rFonts w:ascii="Times New Roman" w:eastAsia="Times New Roman" w:hAnsi="Times New Roman" w:cs="Times New Roman"/>
      <w:sz w:val="20"/>
      <w:szCs w:val="20"/>
      <w:lang w:val="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459</Words>
  <Characters>2617</Characters>
  <Application>Microsoft Office Word</Application>
  <DocSecurity>0</DocSecurity>
  <Lines>21</Lines>
  <Paragraphs>6</Paragraphs>
  <ScaleCrop>false</ScaleCrop>
  <Company/>
  <LinksUpToDate>false</LinksUpToDate>
  <CharactersWithSpaces>3070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2014-11-20T10:17:00Z</dcterms:created>
  <dcterms:modified xsi:type="dcterms:W3CDTF">2014-11-20T10:18:00Z</dcterms:modified>
</cp:coreProperties>
</file>