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7011E" w:rsidRPr="0067011E" w:rsidRDefault="0067011E" w:rsidP="0067011E">
      <w:pPr>
        <w:jc w:val="left"/>
        <w:rPr>
          <w:rFonts w:ascii="Times New Roman" w:hAnsi="Times New Roman"/>
          <w:sz w:val="24"/>
          <w:szCs w:val="24"/>
        </w:rPr>
      </w:pPr>
      <w:r w:rsidRPr="0067011E">
        <w:rPr>
          <w:rFonts w:ascii="Times New Roman" w:hAnsi="Times New Roman"/>
          <w:sz w:val="24"/>
          <w:szCs w:val="24"/>
        </w:rPr>
        <w:t xml:space="preserve">Dans  le  cadre de  la valorisation des produits naturels nationaux, nous nous  sommes </w:t>
      </w:r>
    </w:p>
    <w:p w:rsidR="0067011E" w:rsidRPr="0067011E" w:rsidRDefault="0067011E" w:rsidP="0067011E">
      <w:pPr>
        <w:jc w:val="left"/>
        <w:rPr>
          <w:rFonts w:ascii="Times New Roman" w:hAnsi="Times New Roman"/>
          <w:sz w:val="24"/>
          <w:szCs w:val="24"/>
        </w:rPr>
      </w:pPr>
      <w:r w:rsidRPr="0067011E">
        <w:rPr>
          <w:rFonts w:ascii="Times New Roman" w:hAnsi="Times New Roman"/>
          <w:sz w:val="24"/>
          <w:szCs w:val="24"/>
        </w:rPr>
        <w:t>intéressés  à  l’étude  de  la  composition  chimique  de  l’</w:t>
      </w:r>
      <w:proofErr w:type="spellStart"/>
      <w:r w:rsidRPr="0067011E">
        <w:rPr>
          <w:rFonts w:ascii="Times New Roman" w:hAnsi="Times New Roman"/>
          <w:sz w:val="24"/>
          <w:szCs w:val="24"/>
        </w:rPr>
        <w:t>Artemisia</w:t>
      </w:r>
      <w:proofErr w:type="spellEnd"/>
      <w:r w:rsidRPr="0067011E">
        <w:rPr>
          <w:rFonts w:ascii="Times New Roman" w:hAnsi="Times New Roman"/>
          <w:sz w:val="24"/>
          <w:szCs w:val="24"/>
        </w:rPr>
        <w:t xml:space="preserve">  herba-alba  poussant  dans différentes régions d’Algérie </w:t>
      </w:r>
    </w:p>
    <w:p w:rsidR="0067011E" w:rsidRPr="0067011E" w:rsidRDefault="0067011E" w:rsidP="0067011E">
      <w:pPr>
        <w:jc w:val="left"/>
        <w:rPr>
          <w:rFonts w:ascii="Times New Roman" w:hAnsi="Times New Roman"/>
          <w:sz w:val="24"/>
          <w:szCs w:val="24"/>
        </w:rPr>
      </w:pPr>
      <w:r w:rsidRPr="0067011E">
        <w:rPr>
          <w:rFonts w:ascii="Times New Roman" w:hAnsi="Times New Roman"/>
          <w:sz w:val="24"/>
          <w:szCs w:val="24"/>
        </w:rPr>
        <w:t xml:space="preserve">L’étude est portée  sur  les huiles essentielles de vingt  trois   échantillons de  l’armoise blanche  originaires  de  onze  régions  </w:t>
      </w:r>
      <w:r>
        <w:rPr>
          <w:rFonts w:ascii="Times New Roman" w:hAnsi="Times New Roman"/>
          <w:sz w:val="24"/>
          <w:szCs w:val="24"/>
        </w:rPr>
        <w:t xml:space="preserve">d’Algérie :  Batna,  Bordj  Bou </w:t>
      </w:r>
      <w:proofErr w:type="spellStart"/>
      <w:r w:rsidRPr="0067011E">
        <w:rPr>
          <w:rFonts w:ascii="Times New Roman" w:hAnsi="Times New Roman"/>
          <w:sz w:val="24"/>
          <w:szCs w:val="24"/>
        </w:rPr>
        <w:t>Arréridj</w:t>
      </w:r>
      <w:proofErr w:type="spellEnd"/>
      <w:r w:rsidRPr="0067011E">
        <w:rPr>
          <w:rFonts w:ascii="Times New Roman" w:hAnsi="Times New Roman"/>
          <w:sz w:val="24"/>
          <w:szCs w:val="24"/>
        </w:rPr>
        <w:t xml:space="preserve">,  Bordj  </w:t>
      </w:r>
      <w:proofErr w:type="spellStart"/>
      <w:r w:rsidRPr="0067011E">
        <w:rPr>
          <w:rFonts w:ascii="Times New Roman" w:hAnsi="Times New Roman"/>
          <w:sz w:val="24"/>
          <w:szCs w:val="24"/>
        </w:rPr>
        <w:t>Laghdir</w:t>
      </w:r>
      <w:proofErr w:type="spellEnd"/>
      <w:r w:rsidRPr="0067011E">
        <w:rPr>
          <w:rFonts w:ascii="Times New Roman" w:hAnsi="Times New Roman"/>
          <w:sz w:val="24"/>
          <w:szCs w:val="24"/>
        </w:rPr>
        <w:t>, Draa Chih, Djelfa, M’</w:t>
      </w:r>
      <w:proofErr w:type="spellStart"/>
      <w:r w:rsidRPr="0067011E">
        <w:rPr>
          <w:rFonts w:ascii="Times New Roman" w:hAnsi="Times New Roman"/>
          <w:sz w:val="24"/>
          <w:szCs w:val="24"/>
        </w:rPr>
        <w:t>sila</w:t>
      </w:r>
      <w:proofErr w:type="spellEnd"/>
      <w:r w:rsidRPr="0067011E">
        <w:rPr>
          <w:rFonts w:ascii="Times New Roman" w:hAnsi="Times New Roman"/>
          <w:sz w:val="24"/>
          <w:szCs w:val="24"/>
        </w:rPr>
        <w:t xml:space="preserve">, Boussaâda, </w:t>
      </w:r>
      <w:proofErr w:type="spellStart"/>
      <w:r w:rsidRPr="0067011E">
        <w:rPr>
          <w:rFonts w:ascii="Times New Roman" w:hAnsi="Times New Roman"/>
          <w:sz w:val="24"/>
          <w:szCs w:val="24"/>
        </w:rPr>
        <w:t>Romana</w:t>
      </w:r>
      <w:proofErr w:type="spellEnd"/>
      <w:r w:rsidRPr="0067011E">
        <w:rPr>
          <w:rFonts w:ascii="Times New Roman" w:hAnsi="Times New Roman"/>
          <w:sz w:val="24"/>
          <w:szCs w:val="24"/>
        </w:rPr>
        <w:t xml:space="preserve">, </w:t>
      </w:r>
      <w:proofErr w:type="spellStart"/>
      <w:r w:rsidRPr="0067011E">
        <w:rPr>
          <w:rFonts w:ascii="Times New Roman" w:hAnsi="Times New Roman"/>
          <w:sz w:val="24"/>
          <w:szCs w:val="24"/>
        </w:rPr>
        <w:t>Medjedel</w:t>
      </w:r>
      <w:proofErr w:type="spellEnd"/>
      <w:r w:rsidRPr="0067011E">
        <w:rPr>
          <w:rFonts w:ascii="Times New Roman" w:hAnsi="Times New Roman"/>
          <w:sz w:val="24"/>
          <w:szCs w:val="24"/>
        </w:rPr>
        <w:t xml:space="preserve">, </w:t>
      </w:r>
      <w:proofErr w:type="spellStart"/>
      <w:r w:rsidRPr="0067011E">
        <w:rPr>
          <w:rFonts w:ascii="Times New Roman" w:hAnsi="Times New Roman"/>
          <w:sz w:val="24"/>
          <w:szCs w:val="24"/>
        </w:rPr>
        <w:t>Ghardaia</w:t>
      </w:r>
      <w:proofErr w:type="spellEnd"/>
      <w:r w:rsidRPr="0067011E">
        <w:rPr>
          <w:rFonts w:ascii="Times New Roman" w:hAnsi="Times New Roman"/>
          <w:sz w:val="24"/>
          <w:szCs w:val="24"/>
        </w:rPr>
        <w:t xml:space="preserve"> et Laghouat extraites par </w:t>
      </w:r>
      <w:proofErr w:type="spellStart"/>
      <w:r w:rsidRPr="0067011E">
        <w:rPr>
          <w:rFonts w:ascii="Times New Roman" w:hAnsi="Times New Roman"/>
          <w:sz w:val="24"/>
          <w:szCs w:val="24"/>
        </w:rPr>
        <w:t>hydrodistillation</w:t>
      </w:r>
      <w:proofErr w:type="spellEnd"/>
      <w:r w:rsidRPr="0067011E">
        <w:rPr>
          <w:rFonts w:ascii="Times New Roman" w:hAnsi="Times New Roman"/>
          <w:sz w:val="24"/>
          <w:szCs w:val="24"/>
        </w:rPr>
        <w:t xml:space="preserve"> utilisant un appareil de </w:t>
      </w:r>
      <w:proofErr w:type="spellStart"/>
      <w:r w:rsidRPr="0067011E">
        <w:rPr>
          <w:rFonts w:ascii="Times New Roman" w:hAnsi="Times New Roman"/>
          <w:sz w:val="24"/>
          <w:szCs w:val="24"/>
        </w:rPr>
        <w:t>clevenger</w:t>
      </w:r>
      <w:proofErr w:type="spellEnd"/>
      <w:r w:rsidRPr="0067011E">
        <w:rPr>
          <w:rFonts w:ascii="Times New Roman" w:hAnsi="Times New Roman"/>
          <w:sz w:val="24"/>
          <w:szCs w:val="24"/>
        </w:rPr>
        <w:t xml:space="preserve"> et les micro-ondes.   Dans  une  première  partie,  le  travail  a  été  consacré  à  la  détermination  de  l’aspect qualitatif  et  semi  quantitatif  des  essences  extraites,  selon  les  régions  et  les  localités  de cultures,  régies  par  les  conditions  géographiques  et  climatiques.  Il  s’agit  également    de connaitre  l’impact  de  la  technique  d’extraction  sur  le  rendement  en  essence  et  sur  la composition chimique de cette dernière. 164 constituants ont été identifiés par GC et GC/MS. </w:t>
      </w:r>
    </w:p>
    <w:p w:rsidR="0067011E" w:rsidRPr="0067011E" w:rsidRDefault="0067011E" w:rsidP="0067011E">
      <w:pPr>
        <w:jc w:val="left"/>
        <w:rPr>
          <w:rFonts w:ascii="Times New Roman" w:hAnsi="Times New Roman"/>
          <w:sz w:val="24"/>
          <w:szCs w:val="24"/>
        </w:rPr>
      </w:pPr>
      <w:r w:rsidRPr="0067011E">
        <w:rPr>
          <w:rFonts w:ascii="Times New Roman" w:hAnsi="Times New Roman"/>
          <w:sz w:val="24"/>
          <w:szCs w:val="24"/>
        </w:rPr>
        <w:t xml:space="preserve">Cette étude est complétée par des essais d’activité </w:t>
      </w:r>
      <w:proofErr w:type="spellStart"/>
      <w:r w:rsidRPr="0067011E">
        <w:rPr>
          <w:rFonts w:ascii="Times New Roman" w:hAnsi="Times New Roman"/>
          <w:sz w:val="24"/>
          <w:szCs w:val="24"/>
        </w:rPr>
        <w:t>antioxydante</w:t>
      </w:r>
      <w:proofErr w:type="spellEnd"/>
      <w:r w:rsidRPr="0067011E">
        <w:rPr>
          <w:rFonts w:ascii="Times New Roman" w:hAnsi="Times New Roman"/>
          <w:sz w:val="24"/>
          <w:szCs w:val="24"/>
        </w:rPr>
        <w:t xml:space="preserve"> et antimicrobienne des huiles essentielles. L’activité </w:t>
      </w:r>
      <w:proofErr w:type="spellStart"/>
      <w:r w:rsidRPr="0067011E">
        <w:rPr>
          <w:rFonts w:ascii="Times New Roman" w:hAnsi="Times New Roman"/>
          <w:sz w:val="24"/>
          <w:szCs w:val="24"/>
        </w:rPr>
        <w:t>antioxydante</w:t>
      </w:r>
      <w:proofErr w:type="spellEnd"/>
      <w:r w:rsidRPr="0067011E">
        <w:rPr>
          <w:rFonts w:ascii="Times New Roman" w:hAnsi="Times New Roman"/>
          <w:sz w:val="24"/>
          <w:szCs w:val="24"/>
        </w:rPr>
        <w:t xml:space="preserve"> est évaluée sur les huiles obtenues par </w:t>
      </w:r>
      <w:proofErr w:type="spellStart"/>
      <w:r w:rsidRPr="0067011E">
        <w:rPr>
          <w:rFonts w:ascii="Times New Roman" w:hAnsi="Times New Roman"/>
          <w:sz w:val="24"/>
          <w:szCs w:val="24"/>
        </w:rPr>
        <w:t>hydrodistillation</w:t>
      </w:r>
      <w:proofErr w:type="spellEnd"/>
      <w:r w:rsidRPr="0067011E">
        <w:rPr>
          <w:rFonts w:ascii="Times New Roman" w:hAnsi="Times New Roman"/>
          <w:sz w:val="24"/>
          <w:szCs w:val="24"/>
        </w:rPr>
        <w:t xml:space="preserve"> par le pouvoir réducteur et l’inhibition du radical 2,2-</w:t>
      </w:r>
      <w:proofErr w:type="spellStart"/>
      <w:r w:rsidRPr="0067011E">
        <w:rPr>
          <w:rFonts w:ascii="Times New Roman" w:hAnsi="Times New Roman"/>
          <w:sz w:val="24"/>
          <w:szCs w:val="24"/>
        </w:rPr>
        <w:t>diphényl</w:t>
      </w:r>
      <w:proofErr w:type="spellEnd"/>
      <w:r w:rsidRPr="0067011E">
        <w:rPr>
          <w:rFonts w:ascii="Times New Roman" w:hAnsi="Times New Roman"/>
          <w:sz w:val="24"/>
          <w:szCs w:val="24"/>
        </w:rPr>
        <w:t>-1-</w:t>
      </w:r>
      <w:proofErr w:type="spellStart"/>
      <w:r w:rsidRPr="0067011E">
        <w:rPr>
          <w:rFonts w:ascii="Times New Roman" w:hAnsi="Times New Roman"/>
          <w:sz w:val="24"/>
          <w:szCs w:val="24"/>
        </w:rPr>
        <w:t>picrylhydrazyl</w:t>
      </w:r>
      <w:proofErr w:type="spellEnd"/>
      <w:r w:rsidRPr="0067011E">
        <w:rPr>
          <w:rFonts w:ascii="Times New Roman" w:hAnsi="Times New Roman"/>
          <w:sz w:val="24"/>
          <w:szCs w:val="24"/>
        </w:rPr>
        <w:t xml:space="preserve"> (DPPH).  </w:t>
      </w:r>
    </w:p>
    <w:p w:rsidR="0067011E" w:rsidRPr="0067011E" w:rsidRDefault="0067011E" w:rsidP="0067011E">
      <w:pPr>
        <w:jc w:val="left"/>
        <w:rPr>
          <w:rFonts w:ascii="Times New Roman" w:hAnsi="Times New Roman"/>
          <w:sz w:val="24"/>
          <w:szCs w:val="24"/>
        </w:rPr>
      </w:pPr>
      <w:r w:rsidRPr="0067011E">
        <w:rPr>
          <w:rFonts w:ascii="Times New Roman" w:hAnsi="Times New Roman"/>
          <w:sz w:val="24"/>
          <w:szCs w:val="24"/>
        </w:rPr>
        <w:t xml:space="preserve">L’activité  antimicrobienne  est  évaluée  par  la  </w:t>
      </w:r>
      <w:r>
        <w:rPr>
          <w:rFonts w:ascii="Times New Roman" w:hAnsi="Times New Roman"/>
          <w:sz w:val="24"/>
          <w:szCs w:val="24"/>
        </w:rPr>
        <w:t xml:space="preserve">méthode  des  dilutions    sur </w:t>
      </w:r>
      <w:r w:rsidRPr="0067011E">
        <w:rPr>
          <w:rFonts w:ascii="Times New Roman" w:hAnsi="Times New Roman"/>
          <w:sz w:val="24"/>
          <w:szCs w:val="24"/>
        </w:rPr>
        <w:t xml:space="preserve">quatorze microorganismes,  les huiles essentielles ont montré une forte activité inhibitrice sur toutes les souches et en particulier l’essence de </w:t>
      </w:r>
      <w:proofErr w:type="spellStart"/>
      <w:r w:rsidRPr="0067011E">
        <w:rPr>
          <w:rFonts w:ascii="Times New Roman" w:hAnsi="Times New Roman"/>
          <w:sz w:val="24"/>
          <w:szCs w:val="24"/>
        </w:rPr>
        <w:t>Medjedel</w:t>
      </w:r>
      <w:proofErr w:type="spellEnd"/>
      <w:r w:rsidRPr="0067011E">
        <w:rPr>
          <w:rFonts w:ascii="Times New Roman" w:hAnsi="Times New Roman"/>
          <w:sz w:val="24"/>
          <w:szCs w:val="24"/>
        </w:rPr>
        <w:t xml:space="preserve">.  </w:t>
      </w:r>
    </w:p>
    <w:p w:rsidR="0067011E" w:rsidRPr="0067011E" w:rsidRDefault="0067011E" w:rsidP="0067011E">
      <w:pPr>
        <w:jc w:val="left"/>
        <w:rPr>
          <w:rFonts w:ascii="Times New Roman" w:hAnsi="Times New Roman"/>
          <w:sz w:val="24"/>
          <w:szCs w:val="24"/>
        </w:rPr>
      </w:pPr>
      <w:r w:rsidRPr="0067011E">
        <w:rPr>
          <w:rFonts w:ascii="Times New Roman" w:hAnsi="Times New Roman"/>
          <w:sz w:val="24"/>
          <w:szCs w:val="24"/>
        </w:rPr>
        <w:t xml:space="preserve">La  seconde  partie  de  ce  travail  traite  de  l’isolement  et  de  la  caractérisation  de </w:t>
      </w:r>
    </w:p>
    <w:p w:rsidR="0067011E" w:rsidRPr="0067011E" w:rsidRDefault="0067011E" w:rsidP="0067011E">
      <w:pPr>
        <w:jc w:val="left"/>
        <w:rPr>
          <w:rFonts w:ascii="Times New Roman" w:hAnsi="Times New Roman"/>
          <w:sz w:val="24"/>
          <w:szCs w:val="24"/>
        </w:rPr>
      </w:pPr>
      <w:proofErr w:type="gramStart"/>
      <w:r w:rsidRPr="0067011E">
        <w:rPr>
          <w:rFonts w:ascii="Times New Roman" w:hAnsi="Times New Roman"/>
          <w:sz w:val="24"/>
          <w:szCs w:val="24"/>
        </w:rPr>
        <w:t>molécules</w:t>
      </w:r>
      <w:proofErr w:type="gramEnd"/>
      <w:r w:rsidRPr="0067011E">
        <w:rPr>
          <w:rFonts w:ascii="Times New Roman" w:hAnsi="Times New Roman"/>
          <w:sz w:val="24"/>
          <w:szCs w:val="24"/>
        </w:rPr>
        <w:t xml:space="preserve">  actives  d’</w:t>
      </w:r>
      <w:proofErr w:type="spellStart"/>
      <w:r w:rsidRPr="0067011E">
        <w:rPr>
          <w:rFonts w:ascii="Times New Roman" w:hAnsi="Times New Roman"/>
          <w:sz w:val="24"/>
          <w:szCs w:val="24"/>
        </w:rPr>
        <w:t>Artemisia</w:t>
      </w:r>
      <w:proofErr w:type="spellEnd"/>
      <w:r w:rsidRPr="0067011E">
        <w:rPr>
          <w:rFonts w:ascii="Times New Roman" w:hAnsi="Times New Roman"/>
          <w:sz w:val="24"/>
          <w:szCs w:val="24"/>
        </w:rPr>
        <w:t xml:space="preserve">  herba-alba.  La  détection  des  com</w:t>
      </w:r>
      <w:r>
        <w:rPr>
          <w:rFonts w:ascii="Times New Roman" w:hAnsi="Times New Roman"/>
          <w:sz w:val="24"/>
          <w:szCs w:val="24"/>
        </w:rPr>
        <w:t xml:space="preserve">posés </w:t>
      </w:r>
      <w:r w:rsidRPr="0067011E">
        <w:rPr>
          <w:rFonts w:ascii="Times New Roman" w:hAnsi="Times New Roman"/>
          <w:sz w:val="24"/>
          <w:szCs w:val="24"/>
        </w:rPr>
        <w:t>antioxydants  dans certaines fractions et la séparation des  plus actives  ont été réalisés par la technique  “on-line” HPLC-DAD-DPPH.</w:t>
      </w:r>
    </w:p>
    <w:p w:rsidR="0067011E" w:rsidRPr="0067011E" w:rsidRDefault="0067011E" w:rsidP="0067011E">
      <w:pPr>
        <w:jc w:val="left"/>
        <w:rPr>
          <w:rFonts w:ascii="Times New Roman" w:hAnsi="Times New Roman"/>
          <w:sz w:val="24"/>
          <w:szCs w:val="24"/>
        </w:rPr>
      </w:pPr>
      <w:r w:rsidRPr="0067011E">
        <w:rPr>
          <w:rFonts w:ascii="Times New Roman" w:hAnsi="Times New Roman"/>
          <w:sz w:val="24"/>
          <w:szCs w:val="24"/>
        </w:rPr>
        <w:lastRenderedPageBreak/>
        <w:t xml:space="preserve">Les structures des  molécules  isolées par chromatographie sur colonne et </w:t>
      </w:r>
      <w:r>
        <w:rPr>
          <w:rFonts w:ascii="Times New Roman" w:hAnsi="Times New Roman"/>
          <w:sz w:val="24"/>
          <w:szCs w:val="24"/>
        </w:rPr>
        <w:t xml:space="preserve"> </w:t>
      </w:r>
      <w:r w:rsidRPr="0067011E">
        <w:rPr>
          <w:rFonts w:ascii="Times New Roman" w:hAnsi="Times New Roman"/>
          <w:sz w:val="24"/>
          <w:szCs w:val="24"/>
        </w:rPr>
        <w:t>par  HPLC  semi-</w:t>
      </w:r>
      <w:proofErr w:type="spellStart"/>
      <w:r w:rsidRPr="0067011E">
        <w:rPr>
          <w:rFonts w:ascii="Times New Roman" w:hAnsi="Times New Roman"/>
          <w:sz w:val="24"/>
          <w:szCs w:val="24"/>
        </w:rPr>
        <w:t>préparative</w:t>
      </w:r>
      <w:proofErr w:type="spellEnd"/>
      <w:r w:rsidRPr="0067011E">
        <w:rPr>
          <w:rFonts w:ascii="Times New Roman" w:hAnsi="Times New Roman"/>
          <w:sz w:val="24"/>
          <w:szCs w:val="24"/>
        </w:rPr>
        <w:t xml:space="preserve">  en  phase  inverse  ont  été  déterminées  par  des  méthodes spectroscopiques telles que  la RMN  H, la RMN  C, la RMN 2D, l’UV, l’IR et la SM. Ainsi, on a isolé et identifié comme principaux antioxydants présents dans A. herba-alba  les acides </w:t>
      </w:r>
      <w:proofErr w:type="spellStart"/>
      <w:r w:rsidRPr="0067011E">
        <w:rPr>
          <w:rFonts w:ascii="Times New Roman" w:hAnsi="Times New Roman"/>
          <w:sz w:val="24"/>
          <w:szCs w:val="24"/>
        </w:rPr>
        <w:t>chlorogéniques</w:t>
      </w:r>
      <w:proofErr w:type="spellEnd"/>
      <w:r w:rsidRPr="0067011E">
        <w:rPr>
          <w:rFonts w:ascii="Times New Roman" w:hAnsi="Times New Roman"/>
          <w:sz w:val="24"/>
          <w:szCs w:val="24"/>
        </w:rPr>
        <w:t xml:space="preserve">  suivants:  3-O-</w:t>
      </w:r>
      <w:proofErr w:type="spellStart"/>
      <w:r w:rsidRPr="0067011E">
        <w:rPr>
          <w:rFonts w:ascii="Times New Roman" w:hAnsi="Times New Roman"/>
          <w:sz w:val="24"/>
          <w:szCs w:val="24"/>
        </w:rPr>
        <w:t>cafféoylquinique</w:t>
      </w:r>
      <w:proofErr w:type="spellEnd"/>
      <w:r w:rsidRPr="0067011E">
        <w:rPr>
          <w:rFonts w:ascii="Times New Roman" w:hAnsi="Times New Roman"/>
          <w:sz w:val="24"/>
          <w:szCs w:val="24"/>
        </w:rPr>
        <w:t>,  3,5-di-O-</w:t>
      </w:r>
      <w:proofErr w:type="spellStart"/>
      <w:r w:rsidRPr="0067011E">
        <w:rPr>
          <w:rFonts w:ascii="Times New Roman" w:hAnsi="Times New Roman"/>
          <w:sz w:val="24"/>
          <w:szCs w:val="24"/>
        </w:rPr>
        <w:t>cafféoylquinique</w:t>
      </w:r>
      <w:proofErr w:type="spellEnd"/>
      <w:r w:rsidRPr="0067011E">
        <w:rPr>
          <w:rFonts w:ascii="Times New Roman" w:hAnsi="Times New Roman"/>
          <w:sz w:val="24"/>
          <w:szCs w:val="24"/>
        </w:rPr>
        <w:t>,  3,4-di-O-</w:t>
      </w:r>
      <w:proofErr w:type="spellStart"/>
      <w:r w:rsidRPr="0067011E">
        <w:rPr>
          <w:rFonts w:ascii="Times New Roman" w:hAnsi="Times New Roman"/>
          <w:sz w:val="24"/>
          <w:szCs w:val="24"/>
        </w:rPr>
        <w:t>cafféoylquinique</w:t>
      </w:r>
      <w:proofErr w:type="spellEnd"/>
      <w:r w:rsidRPr="0067011E">
        <w:rPr>
          <w:rFonts w:ascii="Times New Roman" w:hAnsi="Times New Roman"/>
          <w:sz w:val="24"/>
          <w:szCs w:val="24"/>
        </w:rPr>
        <w:t>,  3-O-</w:t>
      </w:r>
      <w:proofErr w:type="spellStart"/>
      <w:r w:rsidRPr="0067011E">
        <w:rPr>
          <w:rFonts w:ascii="Times New Roman" w:hAnsi="Times New Roman"/>
          <w:sz w:val="24"/>
          <w:szCs w:val="24"/>
        </w:rPr>
        <w:t>glucosil</w:t>
      </w:r>
      <w:proofErr w:type="spellEnd"/>
      <w:r w:rsidRPr="0067011E">
        <w:rPr>
          <w:rFonts w:ascii="Times New Roman" w:hAnsi="Times New Roman"/>
          <w:sz w:val="24"/>
          <w:szCs w:val="24"/>
        </w:rPr>
        <w:t>-4-O-</w:t>
      </w:r>
      <w:proofErr w:type="spellStart"/>
      <w:r w:rsidRPr="0067011E">
        <w:rPr>
          <w:rFonts w:ascii="Times New Roman" w:hAnsi="Times New Roman"/>
          <w:sz w:val="24"/>
          <w:szCs w:val="24"/>
        </w:rPr>
        <w:t>méthylcafféique</w:t>
      </w:r>
      <w:proofErr w:type="spellEnd"/>
      <w:r w:rsidRPr="0067011E">
        <w:rPr>
          <w:rFonts w:ascii="Times New Roman" w:hAnsi="Times New Roman"/>
          <w:sz w:val="24"/>
          <w:szCs w:val="24"/>
        </w:rPr>
        <w:t xml:space="preserve">  et  3,4,5-tri-O-</w:t>
      </w:r>
      <w:proofErr w:type="spellStart"/>
      <w:r w:rsidRPr="0067011E">
        <w:rPr>
          <w:rFonts w:ascii="Times New Roman" w:hAnsi="Times New Roman"/>
          <w:sz w:val="24"/>
          <w:szCs w:val="24"/>
        </w:rPr>
        <w:t>cafféoylquinique</w:t>
      </w:r>
      <w:proofErr w:type="spellEnd"/>
      <w:r w:rsidRPr="0067011E">
        <w:rPr>
          <w:rFonts w:ascii="Times New Roman" w:hAnsi="Times New Roman"/>
          <w:sz w:val="24"/>
          <w:szCs w:val="24"/>
        </w:rPr>
        <w:t xml:space="preserve">  . </w:t>
      </w:r>
    </w:p>
    <w:p w:rsidR="0067011E" w:rsidRPr="0067011E" w:rsidRDefault="0067011E" w:rsidP="0067011E">
      <w:pPr>
        <w:jc w:val="left"/>
        <w:rPr>
          <w:rFonts w:ascii="Times New Roman" w:hAnsi="Times New Roman"/>
          <w:sz w:val="24"/>
          <w:szCs w:val="24"/>
        </w:rPr>
      </w:pPr>
      <w:r w:rsidRPr="0067011E">
        <w:rPr>
          <w:rFonts w:ascii="Times New Roman" w:hAnsi="Times New Roman"/>
          <w:sz w:val="24"/>
          <w:szCs w:val="24"/>
        </w:rPr>
        <w:t>L'activité anti-oxydante de  l’extrait et des composés purs a été déterminée p</w:t>
      </w:r>
      <w:r>
        <w:rPr>
          <w:rFonts w:ascii="Times New Roman" w:hAnsi="Times New Roman"/>
          <w:sz w:val="24"/>
          <w:szCs w:val="24"/>
        </w:rPr>
        <w:t xml:space="preserve">ar  la </w:t>
      </w:r>
      <w:r w:rsidRPr="0067011E">
        <w:rPr>
          <w:rFonts w:ascii="Times New Roman" w:hAnsi="Times New Roman"/>
          <w:sz w:val="24"/>
          <w:szCs w:val="24"/>
        </w:rPr>
        <w:t xml:space="preserve">mesure de </w:t>
      </w:r>
    </w:p>
    <w:p w:rsidR="00BA2E19" w:rsidRPr="0067011E" w:rsidRDefault="0067011E" w:rsidP="0067011E">
      <w:pPr>
        <w:jc w:val="left"/>
        <w:rPr>
          <w:rtl/>
        </w:rPr>
      </w:pPr>
      <w:proofErr w:type="gramStart"/>
      <w:r w:rsidRPr="0067011E">
        <w:rPr>
          <w:rFonts w:ascii="Times New Roman" w:hAnsi="Times New Roman"/>
          <w:sz w:val="24"/>
          <w:szCs w:val="24"/>
        </w:rPr>
        <w:t>l'activité</w:t>
      </w:r>
      <w:proofErr w:type="gramEnd"/>
      <w:r w:rsidRPr="0067011E">
        <w:rPr>
          <w:rFonts w:ascii="Times New Roman" w:hAnsi="Times New Roman"/>
          <w:sz w:val="24"/>
          <w:szCs w:val="24"/>
        </w:rPr>
        <w:t xml:space="preserve"> radicalaire en utilisant le 2,2-</w:t>
      </w:r>
      <w:proofErr w:type="spellStart"/>
      <w:r w:rsidRPr="0067011E">
        <w:rPr>
          <w:rFonts w:ascii="Times New Roman" w:hAnsi="Times New Roman"/>
          <w:sz w:val="24"/>
          <w:szCs w:val="24"/>
        </w:rPr>
        <w:t>diphényl</w:t>
      </w:r>
      <w:proofErr w:type="spellEnd"/>
      <w:r w:rsidRPr="0067011E">
        <w:rPr>
          <w:rFonts w:ascii="Times New Roman" w:hAnsi="Times New Roman"/>
          <w:sz w:val="24"/>
          <w:szCs w:val="24"/>
        </w:rPr>
        <w:t xml:space="preserve">-1- </w:t>
      </w:r>
      <w:proofErr w:type="spellStart"/>
      <w:r w:rsidRPr="0067011E">
        <w:rPr>
          <w:rFonts w:ascii="Times New Roman" w:hAnsi="Times New Roman"/>
          <w:sz w:val="24"/>
          <w:szCs w:val="24"/>
        </w:rPr>
        <w:t>picrylhydrazyl</w:t>
      </w:r>
      <w:proofErr w:type="spellEnd"/>
      <w:r w:rsidRPr="0067011E">
        <w:rPr>
          <w:rFonts w:ascii="Times New Roman" w:hAnsi="Times New Roman"/>
          <w:sz w:val="24"/>
          <w:szCs w:val="24"/>
        </w:rPr>
        <w:t xml:space="preserve"> (DPPH).</w:t>
      </w:r>
    </w:p>
    <w:sectPr w:rsidR="00BA2E19" w:rsidRPr="0067011E"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altName w:val="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A1E5C28"/>
    <w:multiLevelType w:val="hybridMultilevel"/>
    <w:tmpl w:val="AD1A5438"/>
    <w:lvl w:ilvl="0" w:tplc="FFFFFFFF">
      <w:numFmt w:val="bullet"/>
      <w:lvlText w:val="-"/>
      <w:lvlJc w:val="left"/>
      <w:pPr>
        <w:tabs>
          <w:tab w:val="num" w:pos="720"/>
        </w:tabs>
        <w:ind w:left="720" w:hanging="360"/>
      </w:pPr>
      <w:rPr>
        <w:rFonts w:ascii="Times New Roman" w:eastAsia="Times New Roman" w:hAnsi="Times New Roman" w:cs="Times New Roman"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E904AD"/>
    <w:rsid w:val="00000DC2"/>
    <w:rsid w:val="000739F6"/>
    <w:rsid w:val="000E3A3B"/>
    <w:rsid w:val="000F7A67"/>
    <w:rsid w:val="001A0B89"/>
    <w:rsid w:val="002214A4"/>
    <w:rsid w:val="002701CD"/>
    <w:rsid w:val="00280B15"/>
    <w:rsid w:val="002C3E8D"/>
    <w:rsid w:val="00311E08"/>
    <w:rsid w:val="00321F52"/>
    <w:rsid w:val="00331277"/>
    <w:rsid w:val="00334D8A"/>
    <w:rsid w:val="0034258A"/>
    <w:rsid w:val="003A796B"/>
    <w:rsid w:val="003D2F35"/>
    <w:rsid w:val="003E69F6"/>
    <w:rsid w:val="003F310A"/>
    <w:rsid w:val="00426714"/>
    <w:rsid w:val="00434F66"/>
    <w:rsid w:val="00491D7D"/>
    <w:rsid w:val="004D4A4F"/>
    <w:rsid w:val="004D6F79"/>
    <w:rsid w:val="00521727"/>
    <w:rsid w:val="00523A64"/>
    <w:rsid w:val="00565AA9"/>
    <w:rsid w:val="00573BFD"/>
    <w:rsid w:val="005854F9"/>
    <w:rsid w:val="005B6953"/>
    <w:rsid w:val="005F22D0"/>
    <w:rsid w:val="005F47AF"/>
    <w:rsid w:val="0062768E"/>
    <w:rsid w:val="00637238"/>
    <w:rsid w:val="0067011E"/>
    <w:rsid w:val="006704C5"/>
    <w:rsid w:val="006C36A5"/>
    <w:rsid w:val="007410E4"/>
    <w:rsid w:val="00751822"/>
    <w:rsid w:val="00753AE2"/>
    <w:rsid w:val="00767D68"/>
    <w:rsid w:val="007A7F5D"/>
    <w:rsid w:val="007B11D7"/>
    <w:rsid w:val="0080117F"/>
    <w:rsid w:val="00864C32"/>
    <w:rsid w:val="00893F32"/>
    <w:rsid w:val="00906711"/>
    <w:rsid w:val="009B4078"/>
    <w:rsid w:val="009C0E77"/>
    <w:rsid w:val="009D0F83"/>
    <w:rsid w:val="009E217B"/>
    <w:rsid w:val="009E33B6"/>
    <w:rsid w:val="00A53F06"/>
    <w:rsid w:val="00A555F6"/>
    <w:rsid w:val="00A942A1"/>
    <w:rsid w:val="00AA61CD"/>
    <w:rsid w:val="00AB29CA"/>
    <w:rsid w:val="00AB5276"/>
    <w:rsid w:val="00AD52D6"/>
    <w:rsid w:val="00AE1983"/>
    <w:rsid w:val="00AE4A8A"/>
    <w:rsid w:val="00B23BE0"/>
    <w:rsid w:val="00B3099D"/>
    <w:rsid w:val="00B41A24"/>
    <w:rsid w:val="00B60D2E"/>
    <w:rsid w:val="00B64118"/>
    <w:rsid w:val="00B705B7"/>
    <w:rsid w:val="00B756B6"/>
    <w:rsid w:val="00BA2E19"/>
    <w:rsid w:val="00BA3A1F"/>
    <w:rsid w:val="00BC5AE1"/>
    <w:rsid w:val="00C038B1"/>
    <w:rsid w:val="00C06CA0"/>
    <w:rsid w:val="00C26198"/>
    <w:rsid w:val="00C431AD"/>
    <w:rsid w:val="00C51DB2"/>
    <w:rsid w:val="00C562C6"/>
    <w:rsid w:val="00C5687E"/>
    <w:rsid w:val="00CC0B8B"/>
    <w:rsid w:val="00CC4896"/>
    <w:rsid w:val="00CE63AF"/>
    <w:rsid w:val="00CF2D39"/>
    <w:rsid w:val="00D10B15"/>
    <w:rsid w:val="00D50979"/>
    <w:rsid w:val="00D601D7"/>
    <w:rsid w:val="00E412C7"/>
    <w:rsid w:val="00E6735E"/>
    <w:rsid w:val="00E904AD"/>
    <w:rsid w:val="00EB052E"/>
    <w:rsid w:val="00F13A56"/>
    <w:rsid w:val="00F323BA"/>
    <w:rsid w:val="00F64452"/>
    <w:rsid w:val="00F92273"/>
    <w:rsid w:val="00F9438B"/>
    <w:rsid w:val="00FB34D4"/>
    <w:rsid w:val="00FC6982"/>
    <w:rsid w:val="00FF0F50"/>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10E4"/>
    <w:pPr>
      <w:spacing w:after="0" w:line="480" w:lineRule="auto"/>
      <w:jc w:val="center"/>
    </w:pPr>
    <w:rPr>
      <w:rFonts w:ascii="Calibri" w:eastAsia="Calibri" w:hAnsi="Calibri" w:cs="Arial"/>
      <w:lang w:val="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B3099D"/>
    <w:pPr>
      <w:bidi/>
      <w:spacing w:line="240" w:lineRule="auto"/>
      <w:jc w:val="left"/>
    </w:pPr>
    <w:rPr>
      <w:rFonts w:ascii="Tahoma" w:eastAsiaTheme="minorHAnsi" w:hAnsi="Tahoma" w:cs="Tahoma"/>
      <w:sz w:val="16"/>
      <w:szCs w:val="16"/>
      <w:lang w:val="en-US"/>
    </w:rPr>
  </w:style>
  <w:style w:type="character" w:customStyle="1" w:styleId="TextedebullesCar">
    <w:name w:val="Texte de bulles Car"/>
    <w:basedOn w:val="Policepardfaut"/>
    <w:link w:val="Textedebulles"/>
    <w:uiPriority w:val="99"/>
    <w:semiHidden/>
    <w:rsid w:val="00B3099D"/>
    <w:rPr>
      <w:rFonts w:ascii="Tahoma" w:hAnsi="Tahoma" w:cs="Tahoma"/>
      <w:sz w:val="16"/>
      <w:szCs w:val="16"/>
    </w:rPr>
  </w:style>
  <w:style w:type="paragraph" w:styleId="Corpsdetexte">
    <w:name w:val="Body Text"/>
    <w:basedOn w:val="Normal"/>
    <w:link w:val="CorpsdetexteCar"/>
    <w:semiHidden/>
    <w:rsid w:val="00FC6982"/>
    <w:pPr>
      <w:spacing w:line="360" w:lineRule="auto"/>
      <w:jc w:val="both"/>
    </w:pPr>
    <w:rPr>
      <w:rFonts w:ascii="Times New Roman" w:eastAsia="Times New Roman" w:hAnsi="Times New Roman" w:cs="Times New Roman"/>
      <w:sz w:val="24"/>
      <w:szCs w:val="24"/>
      <w:lang w:eastAsia="fr-FR"/>
    </w:rPr>
  </w:style>
  <w:style w:type="character" w:customStyle="1" w:styleId="CorpsdetexteCar">
    <w:name w:val="Corps de texte Car"/>
    <w:basedOn w:val="Policepardfaut"/>
    <w:link w:val="Corpsdetexte"/>
    <w:semiHidden/>
    <w:rsid w:val="00FC6982"/>
    <w:rPr>
      <w:rFonts w:ascii="Times New Roman" w:eastAsia="Times New Roman" w:hAnsi="Times New Roman" w:cs="Times New Roman"/>
      <w:sz w:val="24"/>
      <w:szCs w:val="24"/>
      <w:lang w:val="fr-FR" w:eastAsia="fr-FR"/>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1051</TotalTime>
  <Pages>2</Pages>
  <Words>389</Words>
  <Characters>2218</Characters>
  <Application>Microsoft Office Word</Application>
  <DocSecurity>0</DocSecurity>
  <Lines>18</Lines>
  <Paragraphs>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2602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89</cp:revision>
  <dcterms:created xsi:type="dcterms:W3CDTF">2014-12-07T11:07:00Z</dcterms:created>
  <dcterms:modified xsi:type="dcterms:W3CDTF">2014-12-15T13:34:00Z</dcterms:modified>
</cp:coreProperties>
</file>