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E78" w:rsidRPr="00EC3BC4" w:rsidRDefault="008F4E78" w:rsidP="008F4E78">
      <w:pPr>
        <w:pStyle w:val="Titre1"/>
        <w:spacing w:line="360" w:lineRule="atLeast"/>
      </w:pPr>
      <w:bookmarkStart w:id="0" w:name="_Toc492903040"/>
      <w:r w:rsidRPr="00EC3BC4">
        <w:t>Résumé</w:t>
      </w:r>
      <w:bookmarkEnd w:id="0"/>
    </w:p>
    <w:p w:rsidR="008F4E78" w:rsidRDefault="008F4E78" w:rsidP="008F4E78">
      <w:pPr>
        <w:tabs>
          <w:tab w:val="left" w:pos="567"/>
        </w:tabs>
        <w:autoSpaceDE w:val="0"/>
        <w:autoSpaceDN w:val="0"/>
        <w:adjustRightInd w:val="0"/>
        <w:spacing w:line="360" w:lineRule="atLeast"/>
        <w:rPr>
          <w:rFonts w:asciiTheme="majorBidi" w:hAnsiTheme="majorBidi" w:cstheme="majorBidi"/>
          <w:color w:val="000000"/>
          <w:sz w:val="24"/>
          <w:szCs w:val="24"/>
        </w:rPr>
      </w:pPr>
      <w:r>
        <w:rPr>
          <w:rFonts w:ascii="Times New Roman" w:hAnsi="Times New Roman" w:cs="Times New Roman"/>
          <w:color w:val="000000"/>
          <w:sz w:val="24"/>
          <w:szCs w:val="24"/>
        </w:rPr>
        <w:tab/>
        <w:t xml:space="preserve">Le présent travail de thèse a pour objectif </w:t>
      </w:r>
      <w:r w:rsidRPr="008D7452">
        <w:rPr>
          <w:rFonts w:asciiTheme="majorBidi" w:hAnsiTheme="majorBidi" w:cstheme="majorBidi"/>
          <w:color w:val="000000"/>
          <w:sz w:val="24"/>
          <w:szCs w:val="24"/>
        </w:rPr>
        <w:t>de montrer l</w:t>
      </w:r>
      <w:r>
        <w:rPr>
          <w:rFonts w:asciiTheme="majorBidi" w:hAnsiTheme="majorBidi" w:cstheme="majorBidi"/>
          <w:color w:val="000000"/>
          <w:sz w:val="24"/>
          <w:szCs w:val="24"/>
        </w:rPr>
        <w:t>'</w:t>
      </w:r>
      <w:r w:rsidRPr="008D7452">
        <w:rPr>
          <w:rFonts w:asciiTheme="majorBidi" w:hAnsiTheme="majorBidi" w:cstheme="majorBidi"/>
          <w:color w:val="000000"/>
          <w:sz w:val="24"/>
          <w:szCs w:val="24"/>
        </w:rPr>
        <w:t>intérêt des procédés d</w:t>
      </w:r>
      <w:r>
        <w:rPr>
          <w:rFonts w:asciiTheme="majorBidi" w:hAnsiTheme="majorBidi" w:cstheme="majorBidi"/>
          <w:color w:val="000000"/>
          <w:sz w:val="24"/>
          <w:szCs w:val="24"/>
        </w:rPr>
        <w:t>'</w:t>
      </w:r>
      <w:r w:rsidRPr="008D7452">
        <w:rPr>
          <w:rFonts w:asciiTheme="majorBidi" w:hAnsiTheme="majorBidi" w:cstheme="majorBidi"/>
          <w:color w:val="000000"/>
          <w:sz w:val="24"/>
          <w:szCs w:val="24"/>
        </w:rPr>
        <w:t>oxydation avancée</w:t>
      </w:r>
      <w:r>
        <w:rPr>
          <w:rFonts w:asciiTheme="majorBidi" w:hAnsiTheme="majorBidi" w:cstheme="majorBidi"/>
          <w:color w:val="000000"/>
          <w:sz w:val="24"/>
          <w:szCs w:val="24"/>
        </w:rPr>
        <w:t>, à</w:t>
      </w:r>
      <w:r w:rsidRPr="008D7452">
        <w:rPr>
          <w:rFonts w:asciiTheme="majorBidi" w:hAnsiTheme="majorBidi" w:cstheme="majorBidi"/>
          <w:color w:val="000000"/>
          <w:sz w:val="24"/>
          <w:szCs w:val="24"/>
        </w:rPr>
        <w:t xml:space="preserve"> dégrad</w:t>
      </w:r>
      <w:r>
        <w:rPr>
          <w:rFonts w:asciiTheme="majorBidi" w:hAnsiTheme="majorBidi" w:cstheme="majorBidi"/>
          <w:color w:val="000000"/>
          <w:sz w:val="24"/>
          <w:szCs w:val="24"/>
        </w:rPr>
        <w:t>er</w:t>
      </w:r>
      <w:r w:rsidRPr="008D7452">
        <w:rPr>
          <w:rFonts w:asciiTheme="majorBidi" w:hAnsiTheme="majorBidi" w:cstheme="majorBidi"/>
          <w:color w:val="000000"/>
          <w:sz w:val="24"/>
          <w:szCs w:val="24"/>
        </w:rPr>
        <w:t xml:space="preserve"> des </w:t>
      </w:r>
      <w:r>
        <w:rPr>
          <w:rFonts w:asciiTheme="majorBidi" w:hAnsiTheme="majorBidi" w:cstheme="majorBidi"/>
          <w:color w:val="000000"/>
          <w:sz w:val="24"/>
          <w:szCs w:val="24"/>
        </w:rPr>
        <w:t>produits pharmaceutiques</w:t>
      </w:r>
      <w:r w:rsidRPr="008D7452">
        <w:rPr>
          <w:rFonts w:asciiTheme="majorBidi" w:hAnsiTheme="majorBidi" w:cstheme="majorBidi"/>
          <w:color w:val="000000"/>
          <w:sz w:val="24"/>
          <w:szCs w:val="24"/>
        </w:rPr>
        <w:t>. Dans ce contexte,</w:t>
      </w:r>
      <w:r>
        <w:rPr>
          <w:rFonts w:asciiTheme="majorBidi" w:hAnsiTheme="majorBidi" w:cstheme="majorBidi"/>
          <w:sz w:val="24"/>
          <w:szCs w:val="24"/>
        </w:rPr>
        <w:t xml:space="preserve"> </w:t>
      </w:r>
      <w:r w:rsidRPr="008D7452">
        <w:rPr>
          <w:rFonts w:asciiTheme="majorBidi" w:hAnsiTheme="majorBidi" w:cstheme="majorBidi"/>
          <w:color w:val="000000"/>
          <w:sz w:val="24"/>
          <w:szCs w:val="24"/>
        </w:rPr>
        <w:t>l</w:t>
      </w:r>
      <w:r>
        <w:rPr>
          <w:rFonts w:asciiTheme="majorBidi" w:hAnsiTheme="majorBidi" w:cstheme="majorBidi"/>
          <w:color w:val="000000"/>
          <w:sz w:val="24"/>
          <w:szCs w:val="24"/>
        </w:rPr>
        <w:t>'</w:t>
      </w:r>
      <w:r w:rsidRPr="008D7452">
        <w:rPr>
          <w:rFonts w:asciiTheme="majorBidi" w:hAnsiTheme="majorBidi" w:cstheme="majorBidi"/>
          <w:color w:val="000000"/>
          <w:sz w:val="24"/>
          <w:szCs w:val="24"/>
        </w:rPr>
        <w:t xml:space="preserve">étude a porté sur </w:t>
      </w:r>
      <w:r>
        <w:rPr>
          <w:rFonts w:asciiTheme="majorBidi" w:hAnsiTheme="majorBidi" w:cstheme="majorBidi"/>
          <w:color w:val="000000"/>
          <w:sz w:val="24"/>
          <w:szCs w:val="24"/>
        </w:rPr>
        <w:t>la dégradation photocatalytique et oxydative</w:t>
      </w:r>
      <w:r w:rsidRPr="008D7452">
        <w:rPr>
          <w:rFonts w:asciiTheme="majorBidi" w:hAnsiTheme="majorBidi" w:cstheme="majorBidi"/>
          <w:color w:val="000000"/>
          <w:sz w:val="24"/>
          <w:szCs w:val="24"/>
        </w:rPr>
        <w:t xml:space="preserve"> de trois </w:t>
      </w:r>
      <w:r>
        <w:rPr>
          <w:rFonts w:asciiTheme="majorBidi" w:hAnsiTheme="majorBidi" w:cstheme="majorBidi"/>
          <w:color w:val="000000"/>
          <w:sz w:val="24"/>
          <w:szCs w:val="24"/>
        </w:rPr>
        <w:t xml:space="preserve">produits pharmaceutiques </w:t>
      </w:r>
      <w:r w:rsidRPr="008D7452">
        <w:rPr>
          <w:rFonts w:asciiTheme="majorBidi" w:hAnsiTheme="majorBidi" w:cstheme="majorBidi"/>
          <w:color w:val="000000"/>
          <w:sz w:val="24"/>
          <w:szCs w:val="24"/>
        </w:rPr>
        <w:t>(</w:t>
      </w:r>
      <w:r>
        <w:rPr>
          <w:rFonts w:asciiTheme="majorBidi" w:hAnsiTheme="majorBidi" w:cstheme="majorBidi"/>
          <w:color w:val="000000"/>
          <w:sz w:val="24"/>
          <w:szCs w:val="24"/>
        </w:rPr>
        <w:t>molsidomine</w:t>
      </w:r>
      <w:r w:rsidRPr="008D7452">
        <w:rPr>
          <w:rFonts w:asciiTheme="majorBidi" w:hAnsiTheme="majorBidi" w:cstheme="majorBidi"/>
          <w:color w:val="000000"/>
          <w:sz w:val="24"/>
          <w:szCs w:val="24"/>
        </w:rPr>
        <w:t xml:space="preserve">, </w:t>
      </w:r>
      <w:r>
        <w:rPr>
          <w:rFonts w:asciiTheme="majorBidi" w:hAnsiTheme="majorBidi" w:cstheme="majorBidi"/>
          <w:color w:val="000000"/>
          <w:sz w:val="24"/>
          <w:szCs w:val="24"/>
        </w:rPr>
        <w:t>ibuprofène et oxytétracycline)</w:t>
      </w:r>
      <w:r w:rsidRPr="008D7452">
        <w:rPr>
          <w:rFonts w:asciiTheme="majorBidi" w:hAnsiTheme="majorBidi" w:cstheme="majorBidi"/>
          <w:color w:val="000000"/>
          <w:sz w:val="24"/>
          <w:szCs w:val="24"/>
        </w:rPr>
        <w:t xml:space="preserve"> en solution aqueuse. Ces </w:t>
      </w:r>
      <w:r>
        <w:rPr>
          <w:rFonts w:asciiTheme="majorBidi" w:hAnsiTheme="majorBidi" w:cstheme="majorBidi"/>
          <w:color w:val="000000"/>
          <w:sz w:val="24"/>
          <w:szCs w:val="24"/>
        </w:rPr>
        <w:t>principes actifs</w:t>
      </w:r>
      <w:r w:rsidRPr="008D7452">
        <w:rPr>
          <w:rFonts w:asciiTheme="majorBidi" w:hAnsiTheme="majorBidi" w:cstheme="majorBidi"/>
          <w:color w:val="000000"/>
          <w:sz w:val="24"/>
          <w:szCs w:val="24"/>
        </w:rPr>
        <w:t xml:space="preserve"> ont été choisis à cause de leur forte</w:t>
      </w:r>
      <w:r>
        <w:rPr>
          <w:rFonts w:asciiTheme="majorBidi" w:hAnsiTheme="majorBidi" w:cstheme="majorBidi"/>
          <w:sz w:val="24"/>
          <w:szCs w:val="24"/>
        </w:rPr>
        <w:t xml:space="preserve"> </w:t>
      </w:r>
      <w:r w:rsidRPr="008D7452">
        <w:rPr>
          <w:rFonts w:asciiTheme="majorBidi" w:hAnsiTheme="majorBidi" w:cstheme="majorBidi"/>
          <w:color w:val="000000"/>
          <w:sz w:val="24"/>
          <w:szCs w:val="24"/>
        </w:rPr>
        <w:t xml:space="preserve">utilisation </w:t>
      </w:r>
      <w:r>
        <w:rPr>
          <w:rFonts w:asciiTheme="majorBidi" w:hAnsiTheme="majorBidi" w:cstheme="majorBidi"/>
          <w:color w:val="000000"/>
          <w:sz w:val="24"/>
          <w:szCs w:val="24"/>
        </w:rPr>
        <w:t>à</w:t>
      </w:r>
      <w:r w:rsidRPr="008D7452">
        <w:rPr>
          <w:rFonts w:asciiTheme="majorBidi" w:hAnsiTheme="majorBidi" w:cstheme="majorBidi"/>
          <w:color w:val="000000"/>
          <w:sz w:val="24"/>
          <w:szCs w:val="24"/>
        </w:rPr>
        <w:t xml:space="preserve"> l</w:t>
      </w:r>
      <w:r>
        <w:rPr>
          <w:rFonts w:asciiTheme="majorBidi" w:hAnsiTheme="majorBidi" w:cstheme="majorBidi"/>
          <w:color w:val="000000"/>
          <w:sz w:val="24"/>
          <w:szCs w:val="24"/>
        </w:rPr>
        <w:t>'</w:t>
      </w:r>
      <w:r w:rsidRPr="008D7452">
        <w:rPr>
          <w:rFonts w:asciiTheme="majorBidi" w:hAnsiTheme="majorBidi" w:cstheme="majorBidi"/>
          <w:color w:val="000000"/>
          <w:sz w:val="24"/>
          <w:szCs w:val="24"/>
        </w:rPr>
        <w:t xml:space="preserve">échelle </w:t>
      </w:r>
      <w:r>
        <w:rPr>
          <w:rFonts w:asciiTheme="majorBidi" w:hAnsiTheme="majorBidi" w:cstheme="majorBidi"/>
          <w:color w:val="000000"/>
          <w:sz w:val="24"/>
          <w:szCs w:val="24"/>
        </w:rPr>
        <w:t>nationale</w:t>
      </w:r>
      <w:r w:rsidRPr="008D7452">
        <w:rPr>
          <w:rFonts w:asciiTheme="majorBidi" w:hAnsiTheme="majorBidi" w:cstheme="majorBidi"/>
          <w:color w:val="000000"/>
          <w:sz w:val="24"/>
          <w:szCs w:val="24"/>
        </w:rPr>
        <w:t xml:space="preserve"> </w:t>
      </w:r>
      <w:r>
        <w:rPr>
          <w:rFonts w:asciiTheme="majorBidi" w:hAnsiTheme="majorBidi" w:cstheme="majorBidi"/>
          <w:color w:val="000000"/>
          <w:sz w:val="24"/>
          <w:szCs w:val="24"/>
        </w:rPr>
        <w:t>et leur impact environnemental.</w:t>
      </w:r>
    </w:p>
    <w:p w:rsidR="008F4E78" w:rsidRPr="00624CED" w:rsidRDefault="008F4E78" w:rsidP="008F4E78">
      <w:pPr>
        <w:tabs>
          <w:tab w:val="left" w:pos="567"/>
        </w:tabs>
        <w:spacing w:line="360" w:lineRule="atLeast"/>
        <w:rPr>
          <w:rFonts w:asciiTheme="majorBidi" w:hAnsiTheme="majorBidi" w:cstheme="majorBidi"/>
          <w:sz w:val="24"/>
          <w:szCs w:val="24"/>
          <w:lang w:bidi="ar-DZ"/>
        </w:rPr>
      </w:pPr>
      <w:r>
        <w:rPr>
          <w:rFonts w:asciiTheme="majorBidi" w:hAnsiTheme="majorBidi" w:cstheme="majorBidi"/>
          <w:sz w:val="24"/>
          <w:szCs w:val="24"/>
          <w:lang w:bidi="ar-DZ"/>
        </w:rPr>
        <w:tab/>
      </w:r>
      <w:r w:rsidRPr="00955D25">
        <w:rPr>
          <w:rFonts w:asciiTheme="majorBidi" w:hAnsiTheme="majorBidi" w:cstheme="majorBidi"/>
          <w:sz w:val="24"/>
          <w:szCs w:val="24"/>
          <w:lang w:bidi="ar-DZ"/>
        </w:rPr>
        <w:t xml:space="preserve">Les résultats, des études menées, </w:t>
      </w:r>
      <w:r>
        <w:rPr>
          <w:rFonts w:asciiTheme="majorBidi" w:hAnsiTheme="majorBidi" w:cstheme="majorBidi"/>
          <w:sz w:val="24"/>
          <w:szCs w:val="24"/>
          <w:lang w:bidi="ar-DZ"/>
        </w:rPr>
        <w:t>ont montré que l</w:t>
      </w:r>
      <w:r w:rsidRPr="00955D25">
        <w:rPr>
          <w:rFonts w:asciiTheme="majorBidi" w:hAnsiTheme="majorBidi" w:cstheme="majorBidi"/>
          <w:sz w:val="24"/>
          <w:szCs w:val="24"/>
          <w:lang w:bidi="ar-DZ"/>
        </w:rPr>
        <w:t>a molsidomine, n’est pas réfractaire, elle absorbe les radiations UV et se dégrade jusqu’à 100% sous diverses conditions opératoires comme le pH et la charge. L’oxy</w:t>
      </w:r>
      <w:r>
        <w:rPr>
          <w:rFonts w:asciiTheme="majorBidi" w:hAnsiTheme="majorBidi" w:cstheme="majorBidi"/>
          <w:sz w:val="24"/>
          <w:szCs w:val="24"/>
          <w:lang w:bidi="ar-DZ"/>
        </w:rPr>
        <w:t>t</w:t>
      </w:r>
      <w:r w:rsidRPr="00955D25">
        <w:rPr>
          <w:rFonts w:asciiTheme="majorBidi" w:hAnsiTheme="majorBidi" w:cstheme="majorBidi"/>
          <w:sz w:val="24"/>
          <w:szCs w:val="24"/>
          <w:lang w:bidi="ar-DZ"/>
        </w:rPr>
        <w:t>étracycline a montré un caractère récalcitrant, sa photodégradation est possible (68%) si les UV sont couplés aux ions OH</w:t>
      </w:r>
      <w:r w:rsidRPr="00955D25">
        <w:rPr>
          <w:rFonts w:asciiTheme="majorBidi" w:hAnsiTheme="majorBidi" w:cstheme="majorBidi"/>
          <w:sz w:val="24"/>
          <w:szCs w:val="24"/>
          <w:vertAlign w:val="superscript"/>
          <w:lang w:bidi="ar-DZ"/>
        </w:rPr>
        <w:t>-</w:t>
      </w:r>
      <w:r w:rsidRPr="00955D25">
        <w:rPr>
          <w:rFonts w:asciiTheme="majorBidi" w:hAnsiTheme="majorBidi" w:cstheme="majorBidi"/>
          <w:sz w:val="24"/>
          <w:szCs w:val="24"/>
          <w:lang w:bidi="ar-DZ"/>
        </w:rPr>
        <w:t>. Par contre l’oxydation de l’ibuprofène, sous les radiations UV, uniquement, est quasi-impossible.</w:t>
      </w:r>
      <w:r>
        <w:rPr>
          <w:rFonts w:asciiTheme="majorBidi" w:hAnsiTheme="majorBidi" w:cstheme="majorBidi"/>
          <w:sz w:val="24"/>
          <w:szCs w:val="24"/>
          <w:lang w:bidi="ar-DZ"/>
        </w:rPr>
        <w:t xml:space="preserve"> </w:t>
      </w:r>
      <w:r w:rsidRPr="00955D25">
        <w:rPr>
          <w:rFonts w:asciiTheme="majorBidi" w:hAnsiTheme="majorBidi" w:cstheme="majorBidi"/>
          <w:sz w:val="24"/>
          <w:szCs w:val="24"/>
          <w:lang w:bidi="ar-DZ"/>
        </w:rPr>
        <w:t>Pour les molécules persistantes comme l’OTC et l’IB</w:t>
      </w:r>
      <w:r>
        <w:rPr>
          <w:rFonts w:asciiTheme="majorBidi" w:hAnsiTheme="majorBidi" w:cstheme="majorBidi"/>
          <w:sz w:val="24"/>
          <w:szCs w:val="24"/>
          <w:lang w:bidi="ar-DZ"/>
        </w:rPr>
        <w:t>U</w:t>
      </w:r>
      <w:r w:rsidRPr="00955D25">
        <w:rPr>
          <w:rFonts w:asciiTheme="majorBidi" w:hAnsiTheme="majorBidi" w:cstheme="majorBidi"/>
          <w:sz w:val="24"/>
          <w:szCs w:val="24"/>
          <w:lang w:bidi="ar-DZ"/>
        </w:rPr>
        <w:t>, leur dégradation était étudiée en impliquant un photocatalyseur. La pertinence de ce procédé était vérifiée en mesurant le COT, le rendement et la cinétique sous divers paramètres opératoires tels que : le pH, le flux photonique, la température, la dose en TiO</w:t>
      </w:r>
      <w:r w:rsidRPr="00955D25">
        <w:rPr>
          <w:rFonts w:asciiTheme="majorBidi" w:hAnsiTheme="majorBidi" w:cstheme="majorBidi"/>
          <w:sz w:val="24"/>
          <w:szCs w:val="24"/>
          <w:vertAlign w:val="subscript"/>
          <w:lang w:bidi="ar-DZ"/>
        </w:rPr>
        <w:t>2</w:t>
      </w:r>
      <w:r w:rsidRPr="00955D25">
        <w:rPr>
          <w:rFonts w:asciiTheme="majorBidi" w:hAnsiTheme="majorBidi" w:cstheme="majorBidi"/>
          <w:sz w:val="24"/>
          <w:szCs w:val="24"/>
          <w:lang w:bidi="ar-DZ"/>
        </w:rPr>
        <w:t xml:space="preserve"> et la charge de la solution.</w:t>
      </w:r>
    </w:p>
    <w:p w:rsidR="008F4E78" w:rsidRPr="00624CED" w:rsidRDefault="008F4E78" w:rsidP="008F4E78">
      <w:pPr>
        <w:tabs>
          <w:tab w:val="left" w:pos="567"/>
        </w:tabs>
        <w:spacing w:line="360" w:lineRule="atLeast"/>
        <w:rPr>
          <w:rFonts w:asciiTheme="majorBidi" w:hAnsiTheme="majorBidi" w:cstheme="majorBidi"/>
          <w:sz w:val="24"/>
          <w:szCs w:val="24"/>
          <w:lang w:bidi="ar-DZ"/>
        </w:rPr>
      </w:pPr>
      <w:r>
        <w:rPr>
          <w:rFonts w:asciiTheme="majorBidi" w:hAnsiTheme="majorBidi" w:cstheme="majorBidi"/>
          <w:sz w:val="24"/>
          <w:szCs w:val="24"/>
          <w:lang w:bidi="ar-DZ"/>
        </w:rPr>
        <w:tab/>
      </w:r>
      <w:r w:rsidRPr="00955D25">
        <w:rPr>
          <w:rFonts w:asciiTheme="majorBidi" w:hAnsiTheme="majorBidi" w:cstheme="majorBidi"/>
          <w:sz w:val="24"/>
          <w:szCs w:val="24"/>
          <w:lang w:bidi="ar-DZ"/>
        </w:rPr>
        <w:t>En général, l’approche des mécanismes dans les processus d’oxydation avancée est basée sur la réaction chimique en négligeant le mécanisme physique que peut être une étape importante à développer et à étudier. Les études, menées en présence du TiO</w:t>
      </w:r>
      <w:r w:rsidRPr="00955D25">
        <w:rPr>
          <w:rFonts w:asciiTheme="majorBidi" w:hAnsiTheme="majorBidi" w:cstheme="majorBidi"/>
          <w:sz w:val="24"/>
          <w:szCs w:val="24"/>
          <w:vertAlign w:val="subscript"/>
          <w:lang w:bidi="ar-DZ"/>
        </w:rPr>
        <w:t>2</w:t>
      </w:r>
      <w:r w:rsidRPr="00955D25">
        <w:rPr>
          <w:rFonts w:asciiTheme="majorBidi" w:hAnsiTheme="majorBidi" w:cstheme="majorBidi"/>
          <w:sz w:val="24"/>
          <w:szCs w:val="24"/>
          <w:lang w:bidi="ar-DZ"/>
        </w:rPr>
        <w:t xml:space="preserve"> en suspension et immobilisé sur un film cellulosique, ont montré que la structure chimique peut influencer le processus global de la photodégradation. En effet, avec la molécule présentant plusieurs noyaux phénoliques et plusieurs liaisons conjuguées, l’étape de transfert de masse externe jouait un rôle majeur et imposait sa vitesse quelque soit la forme du TiO</w:t>
      </w:r>
      <w:r w:rsidRPr="00955D25">
        <w:rPr>
          <w:rFonts w:asciiTheme="majorBidi" w:hAnsiTheme="majorBidi" w:cstheme="majorBidi"/>
          <w:sz w:val="24"/>
          <w:szCs w:val="24"/>
          <w:vertAlign w:val="subscript"/>
          <w:lang w:bidi="ar-DZ"/>
        </w:rPr>
        <w:t>2</w:t>
      </w:r>
      <w:r w:rsidRPr="00955D25">
        <w:rPr>
          <w:rFonts w:asciiTheme="majorBidi" w:hAnsiTheme="majorBidi" w:cstheme="majorBidi"/>
          <w:sz w:val="24"/>
          <w:szCs w:val="24"/>
          <w:lang w:bidi="ar-DZ"/>
        </w:rPr>
        <w:t xml:space="preserve"> libre ou immobilisé. Expérimentalement, l’importance de l’étape physique de transfert de masse, était estimée en examinant l’effet du flux photonique et de la vitesse de circulation sur les cinétiques de dégradation.</w:t>
      </w:r>
    </w:p>
    <w:p w:rsidR="008F4E78" w:rsidRDefault="008F4E78" w:rsidP="008F4E78">
      <w:pPr>
        <w:tabs>
          <w:tab w:val="left" w:pos="567"/>
        </w:tabs>
        <w:autoSpaceDE w:val="0"/>
        <w:autoSpaceDN w:val="0"/>
        <w:adjustRightInd w:val="0"/>
        <w:spacing w:line="360" w:lineRule="atLeast"/>
        <w:rPr>
          <w:rFonts w:ascii="Times New Roman" w:hAnsi="Times New Roman" w:cs="Times New Roman"/>
          <w:color w:val="000000"/>
          <w:sz w:val="24"/>
          <w:szCs w:val="24"/>
        </w:rPr>
      </w:pPr>
      <w:r>
        <w:rPr>
          <w:rFonts w:ascii="Times New Roman" w:hAnsi="Times New Roman" w:cs="Times New Roman"/>
          <w:color w:val="000000"/>
          <w:sz w:val="24"/>
          <w:szCs w:val="24"/>
        </w:rPr>
        <w:tab/>
        <w:t>Dans une autre partie expérimentale, u</w:t>
      </w:r>
      <w:r w:rsidRPr="00DC586D">
        <w:rPr>
          <w:rFonts w:ascii="Times New Roman" w:hAnsi="Times New Roman" w:cs="Times New Roman"/>
          <w:color w:val="000000"/>
          <w:sz w:val="24"/>
          <w:szCs w:val="24"/>
        </w:rPr>
        <w:t>n montage a été conçu afin de réaliser des expériences de photocatalyse en lit fixe et à flux ruisselant. Ce réacteur a montr</w:t>
      </w:r>
      <w:r w:rsidRPr="00DC586D">
        <w:rPr>
          <w:rFonts w:ascii="Times New Roman" w:hAnsi="Times New Roman" w:cs="Times New Roman" w:hint="eastAsia"/>
          <w:color w:val="000000"/>
          <w:sz w:val="24"/>
          <w:szCs w:val="24"/>
        </w:rPr>
        <w:t>é</w:t>
      </w:r>
      <w:r w:rsidRPr="00DC586D">
        <w:rPr>
          <w:rFonts w:ascii="Times New Roman" w:hAnsi="Times New Roman" w:cs="Times New Roman"/>
          <w:color w:val="000000"/>
          <w:sz w:val="24"/>
          <w:szCs w:val="24"/>
        </w:rPr>
        <w:t xml:space="preserve"> la m</w:t>
      </w:r>
      <w:r w:rsidRPr="00DC586D">
        <w:rPr>
          <w:rFonts w:ascii="Times New Roman" w:hAnsi="Times New Roman" w:cs="Times New Roman" w:hint="eastAsia"/>
          <w:color w:val="000000"/>
          <w:sz w:val="24"/>
          <w:szCs w:val="24"/>
        </w:rPr>
        <w:t>ê</w:t>
      </w:r>
      <w:r w:rsidRPr="00DC586D">
        <w:rPr>
          <w:rFonts w:ascii="Times New Roman" w:hAnsi="Times New Roman" w:cs="Times New Roman"/>
          <w:color w:val="000000"/>
          <w:sz w:val="24"/>
          <w:szCs w:val="24"/>
        </w:rPr>
        <w:t>me efficacit</w:t>
      </w:r>
      <w:r w:rsidRPr="00DC586D">
        <w:rPr>
          <w:rFonts w:ascii="Times New Roman" w:hAnsi="Times New Roman" w:cs="Times New Roman" w:hint="eastAsia"/>
          <w:color w:val="000000"/>
          <w:sz w:val="24"/>
          <w:szCs w:val="24"/>
        </w:rPr>
        <w:t>é</w:t>
      </w:r>
      <w:r w:rsidRPr="00DC586D">
        <w:rPr>
          <w:rFonts w:ascii="Times New Roman" w:hAnsi="Times New Roman" w:cs="Times New Roman"/>
          <w:color w:val="000000"/>
          <w:sz w:val="24"/>
          <w:szCs w:val="24"/>
        </w:rPr>
        <w:t xml:space="preserve"> qu'un r</w:t>
      </w:r>
      <w:r w:rsidRPr="00DC586D">
        <w:rPr>
          <w:rFonts w:ascii="Times New Roman" w:hAnsi="Times New Roman" w:cs="Times New Roman" w:hint="eastAsia"/>
          <w:color w:val="000000"/>
          <w:sz w:val="24"/>
          <w:szCs w:val="24"/>
        </w:rPr>
        <w:t>é</w:t>
      </w:r>
      <w:r w:rsidRPr="00DC586D">
        <w:rPr>
          <w:rFonts w:ascii="Times New Roman" w:hAnsi="Times New Roman" w:cs="Times New Roman"/>
          <w:color w:val="000000"/>
          <w:sz w:val="24"/>
          <w:szCs w:val="24"/>
        </w:rPr>
        <w:t>acteur batch avec une d</w:t>
      </w:r>
      <w:r w:rsidRPr="00DC586D">
        <w:rPr>
          <w:rFonts w:ascii="Times New Roman" w:hAnsi="Times New Roman" w:cs="Times New Roman" w:hint="eastAsia"/>
          <w:color w:val="000000"/>
          <w:sz w:val="24"/>
          <w:szCs w:val="24"/>
        </w:rPr>
        <w:t>é</w:t>
      </w:r>
      <w:r w:rsidRPr="00DC586D">
        <w:rPr>
          <w:rFonts w:ascii="Times New Roman" w:hAnsi="Times New Roman" w:cs="Times New Roman"/>
          <w:color w:val="000000"/>
          <w:sz w:val="24"/>
          <w:szCs w:val="24"/>
        </w:rPr>
        <w:t>gradation totale obtenue pour l'oxytétracycline après seulement deux heures d'irradiation. De plus, la possibilité d'une réutilisation facile du support-TiO</w:t>
      </w:r>
      <w:r w:rsidRPr="00DC586D">
        <w:rPr>
          <w:rFonts w:ascii="Times New Roman" w:hAnsi="Times New Roman" w:cs="Times New Roman"/>
          <w:color w:val="000000"/>
          <w:sz w:val="24"/>
          <w:szCs w:val="24"/>
          <w:vertAlign w:val="subscript"/>
        </w:rPr>
        <w:t>2</w:t>
      </w:r>
      <w:r w:rsidRPr="00DC586D">
        <w:rPr>
          <w:rFonts w:ascii="Times New Roman" w:hAnsi="Times New Roman" w:cs="Times New Roman"/>
          <w:color w:val="000000"/>
          <w:sz w:val="24"/>
          <w:szCs w:val="24"/>
        </w:rPr>
        <w:t xml:space="preserve"> est un avantage non moins important. Il est également possible d'adapter ce procédé à une plus grande échelle.</w:t>
      </w:r>
      <w:r>
        <w:rPr>
          <w:rFonts w:ascii="Times New Roman" w:hAnsi="Times New Roman" w:cs="Times New Roman"/>
          <w:color w:val="000000"/>
          <w:sz w:val="24"/>
          <w:szCs w:val="24"/>
        </w:rPr>
        <w:t xml:space="preserve"> </w:t>
      </w:r>
    </w:p>
    <w:p w:rsidR="008F4E78" w:rsidRPr="0089677E" w:rsidRDefault="008F4E78" w:rsidP="008F4E78">
      <w:pPr>
        <w:tabs>
          <w:tab w:val="left" w:pos="567"/>
        </w:tabs>
        <w:autoSpaceDE w:val="0"/>
        <w:autoSpaceDN w:val="0"/>
        <w:adjustRightInd w:val="0"/>
        <w:spacing w:line="360" w:lineRule="atLeast"/>
        <w:rPr>
          <w:rFonts w:ascii="Times New Roman" w:hAnsi="Times New Roman" w:cs="Times New Roman"/>
          <w:color w:val="000000"/>
          <w:sz w:val="24"/>
          <w:szCs w:val="24"/>
        </w:rPr>
      </w:pPr>
      <w:r>
        <w:rPr>
          <w:rFonts w:ascii="Times New Roman" w:hAnsi="Times New Roman" w:cs="Times New Roman"/>
          <w:color w:val="000000"/>
          <w:sz w:val="24"/>
          <w:szCs w:val="24"/>
        </w:rPr>
        <w:tab/>
        <w:t xml:space="preserve">Enfin, nous avons développé une architecture originale, pour la modélisation de la réaction de dégradation photocatalytique des trois polluants pharmaceutiques étudiés à partir de </w:t>
      </w:r>
      <w:r>
        <w:rPr>
          <w:rFonts w:ascii="Times New Roman" w:hAnsi="Times New Roman" w:cs="Times New Roman"/>
          <w:sz w:val="24"/>
          <w:szCs w:val="24"/>
        </w:rPr>
        <w:t>résultats expérimentaux des trois polluants</w:t>
      </w:r>
      <w:r>
        <w:rPr>
          <w:rFonts w:ascii="Times New Roman" w:hAnsi="Times New Roman" w:cs="Times New Roman"/>
          <w:color w:val="000000"/>
          <w:sz w:val="24"/>
          <w:szCs w:val="24"/>
        </w:rPr>
        <w:t xml:space="preserve"> en mode batch. </w:t>
      </w:r>
      <w:r>
        <w:rPr>
          <w:rFonts w:ascii="Times New Roman" w:hAnsi="Times New Roman" w:cs="Times New Roman"/>
          <w:sz w:val="24"/>
          <w:szCs w:val="24"/>
        </w:rPr>
        <w:t xml:space="preserve">Les résultats obtenus ont montré que </w:t>
      </w:r>
      <w:r w:rsidRPr="0089677E">
        <w:rPr>
          <w:rFonts w:asciiTheme="majorBidi" w:hAnsiTheme="majorBidi" w:cstheme="majorBidi"/>
          <w:sz w:val="24"/>
          <w:szCs w:val="24"/>
        </w:rPr>
        <w:t>l</w:t>
      </w:r>
      <w:r>
        <w:rPr>
          <w:rFonts w:asciiTheme="majorBidi" w:hAnsiTheme="majorBidi" w:cstheme="majorBidi"/>
          <w:sz w:val="24"/>
          <w:szCs w:val="24"/>
        </w:rPr>
        <w:t>e modèle développé présente</w:t>
      </w:r>
      <w:r w:rsidRPr="0089677E">
        <w:rPr>
          <w:rFonts w:asciiTheme="majorBidi" w:hAnsiTheme="majorBidi" w:cstheme="majorBidi"/>
          <w:sz w:val="24"/>
          <w:szCs w:val="24"/>
        </w:rPr>
        <w:t xml:space="preserve"> des aptitudes certaines vis-à-vis des objectifs visés (la simulation ainsi que la prédiction du taux de dégradation). De plus, l'analyse de sensibilité utilisée pour identifier les variables auxquelles le modèle est le plus sensible </w:t>
      </w:r>
      <w:r>
        <w:rPr>
          <w:rFonts w:asciiTheme="majorBidi" w:hAnsiTheme="majorBidi" w:cstheme="majorBidi"/>
          <w:sz w:val="24"/>
          <w:szCs w:val="24"/>
        </w:rPr>
        <w:t>a</w:t>
      </w:r>
      <w:r w:rsidRPr="0089677E">
        <w:rPr>
          <w:rFonts w:asciiTheme="majorBidi" w:hAnsiTheme="majorBidi" w:cstheme="majorBidi"/>
          <w:sz w:val="24"/>
          <w:szCs w:val="24"/>
        </w:rPr>
        <w:t xml:space="preserve"> montré qu'aucun des paramètres étudiés dans ce travail ne peut être négligé.</w:t>
      </w:r>
    </w:p>
    <w:p w:rsidR="008F0E3B" w:rsidRPr="008F4E78" w:rsidRDefault="008F0E3B" w:rsidP="008F4E78"/>
    <w:sectPr w:rsidR="008F0E3B" w:rsidRPr="008F4E78" w:rsidSect="008F0E3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F4E78"/>
    <w:rsid w:val="0000614A"/>
    <w:rsid w:val="00010919"/>
    <w:rsid w:val="00011BEB"/>
    <w:rsid w:val="0002058D"/>
    <w:rsid w:val="0003375F"/>
    <w:rsid w:val="00045A37"/>
    <w:rsid w:val="00050EB3"/>
    <w:rsid w:val="0005776F"/>
    <w:rsid w:val="000707C2"/>
    <w:rsid w:val="000833EC"/>
    <w:rsid w:val="000917AC"/>
    <w:rsid w:val="0009192B"/>
    <w:rsid w:val="000A18AF"/>
    <w:rsid w:val="000A2783"/>
    <w:rsid w:val="000B67C9"/>
    <w:rsid w:val="000C1A38"/>
    <w:rsid w:val="000D4DF8"/>
    <w:rsid w:val="000F109E"/>
    <w:rsid w:val="000F4E7D"/>
    <w:rsid w:val="00102485"/>
    <w:rsid w:val="00103E7A"/>
    <w:rsid w:val="00105961"/>
    <w:rsid w:val="00106E89"/>
    <w:rsid w:val="00113631"/>
    <w:rsid w:val="00114CC5"/>
    <w:rsid w:val="00116F16"/>
    <w:rsid w:val="00124374"/>
    <w:rsid w:val="00132B75"/>
    <w:rsid w:val="00133C25"/>
    <w:rsid w:val="00145188"/>
    <w:rsid w:val="001565C9"/>
    <w:rsid w:val="00157E30"/>
    <w:rsid w:val="00161B87"/>
    <w:rsid w:val="00162713"/>
    <w:rsid w:val="00181301"/>
    <w:rsid w:val="001A051D"/>
    <w:rsid w:val="001A2E1A"/>
    <w:rsid w:val="001A3D8F"/>
    <w:rsid w:val="001B2806"/>
    <w:rsid w:val="001B6230"/>
    <w:rsid w:val="001C3E93"/>
    <w:rsid w:val="001C57BF"/>
    <w:rsid w:val="001D45BB"/>
    <w:rsid w:val="001E038D"/>
    <w:rsid w:val="001E5CDA"/>
    <w:rsid w:val="001F1936"/>
    <w:rsid w:val="001F7F42"/>
    <w:rsid w:val="0020493A"/>
    <w:rsid w:val="00211391"/>
    <w:rsid w:val="002127D7"/>
    <w:rsid w:val="002169CA"/>
    <w:rsid w:val="00217929"/>
    <w:rsid w:val="00220D84"/>
    <w:rsid w:val="002252BA"/>
    <w:rsid w:val="00226EA2"/>
    <w:rsid w:val="002527EF"/>
    <w:rsid w:val="00256B20"/>
    <w:rsid w:val="0025777D"/>
    <w:rsid w:val="00261B1F"/>
    <w:rsid w:val="002629FB"/>
    <w:rsid w:val="00271861"/>
    <w:rsid w:val="00285748"/>
    <w:rsid w:val="00290851"/>
    <w:rsid w:val="002C453B"/>
    <w:rsid w:val="002D7C3B"/>
    <w:rsid w:val="002E2CD2"/>
    <w:rsid w:val="002E3CEE"/>
    <w:rsid w:val="002E4959"/>
    <w:rsid w:val="002F0F66"/>
    <w:rsid w:val="002F3AD5"/>
    <w:rsid w:val="0030595B"/>
    <w:rsid w:val="003068C5"/>
    <w:rsid w:val="00340B66"/>
    <w:rsid w:val="003517BB"/>
    <w:rsid w:val="00352576"/>
    <w:rsid w:val="003533F5"/>
    <w:rsid w:val="00354DA9"/>
    <w:rsid w:val="00356A79"/>
    <w:rsid w:val="003669B6"/>
    <w:rsid w:val="00370CF1"/>
    <w:rsid w:val="0037312F"/>
    <w:rsid w:val="0037363F"/>
    <w:rsid w:val="003C4262"/>
    <w:rsid w:val="003C784A"/>
    <w:rsid w:val="003D3EBC"/>
    <w:rsid w:val="003D44A1"/>
    <w:rsid w:val="003D6942"/>
    <w:rsid w:val="003E25D5"/>
    <w:rsid w:val="003F5327"/>
    <w:rsid w:val="0040003B"/>
    <w:rsid w:val="00406BEB"/>
    <w:rsid w:val="004112B4"/>
    <w:rsid w:val="00417E95"/>
    <w:rsid w:val="00421E14"/>
    <w:rsid w:val="00423867"/>
    <w:rsid w:val="00431298"/>
    <w:rsid w:val="00450A24"/>
    <w:rsid w:val="00460EC3"/>
    <w:rsid w:val="00461A8C"/>
    <w:rsid w:val="00461B29"/>
    <w:rsid w:val="004647B5"/>
    <w:rsid w:val="00465158"/>
    <w:rsid w:val="004801C0"/>
    <w:rsid w:val="004812C8"/>
    <w:rsid w:val="0049365C"/>
    <w:rsid w:val="00493A93"/>
    <w:rsid w:val="00493C81"/>
    <w:rsid w:val="00495F21"/>
    <w:rsid w:val="004A0068"/>
    <w:rsid w:val="004A7407"/>
    <w:rsid w:val="004B16D4"/>
    <w:rsid w:val="004B5121"/>
    <w:rsid w:val="004C53DC"/>
    <w:rsid w:val="00503B12"/>
    <w:rsid w:val="0050446E"/>
    <w:rsid w:val="00512153"/>
    <w:rsid w:val="005132AF"/>
    <w:rsid w:val="00513CB5"/>
    <w:rsid w:val="0051576E"/>
    <w:rsid w:val="0053177E"/>
    <w:rsid w:val="005326B2"/>
    <w:rsid w:val="00533F2B"/>
    <w:rsid w:val="00543C7B"/>
    <w:rsid w:val="0054467B"/>
    <w:rsid w:val="00556015"/>
    <w:rsid w:val="005602CA"/>
    <w:rsid w:val="0056669C"/>
    <w:rsid w:val="00570818"/>
    <w:rsid w:val="00570CB6"/>
    <w:rsid w:val="00574C8E"/>
    <w:rsid w:val="0057502B"/>
    <w:rsid w:val="005811BC"/>
    <w:rsid w:val="00581C77"/>
    <w:rsid w:val="00587D61"/>
    <w:rsid w:val="005A0127"/>
    <w:rsid w:val="005A55D2"/>
    <w:rsid w:val="005D1515"/>
    <w:rsid w:val="005D1549"/>
    <w:rsid w:val="005D1ED6"/>
    <w:rsid w:val="005E2EA1"/>
    <w:rsid w:val="005F2EF4"/>
    <w:rsid w:val="00615F4E"/>
    <w:rsid w:val="006323FF"/>
    <w:rsid w:val="00652F3F"/>
    <w:rsid w:val="006601C6"/>
    <w:rsid w:val="006743D3"/>
    <w:rsid w:val="0067675B"/>
    <w:rsid w:val="00680EE9"/>
    <w:rsid w:val="00683143"/>
    <w:rsid w:val="00684015"/>
    <w:rsid w:val="00691491"/>
    <w:rsid w:val="006A2176"/>
    <w:rsid w:val="006B2549"/>
    <w:rsid w:val="006B66E6"/>
    <w:rsid w:val="006C036C"/>
    <w:rsid w:val="006D63FF"/>
    <w:rsid w:val="006E2039"/>
    <w:rsid w:val="006E54E5"/>
    <w:rsid w:val="006F576F"/>
    <w:rsid w:val="00702213"/>
    <w:rsid w:val="007035AA"/>
    <w:rsid w:val="007131AD"/>
    <w:rsid w:val="007226FF"/>
    <w:rsid w:val="00726F75"/>
    <w:rsid w:val="00736386"/>
    <w:rsid w:val="00754E32"/>
    <w:rsid w:val="007571A4"/>
    <w:rsid w:val="007576EC"/>
    <w:rsid w:val="007651EC"/>
    <w:rsid w:val="00772257"/>
    <w:rsid w:val="007740B8"/>
    <w:rsid w:val="00777D0D"/>
    <w:rsid w:val="00780895"/>
    <w:rsid w:val="007912C3"/>
    <w:rsid w:val="007A5FEA"/>
    <w:rsid w:val="007B6096"/>
    <w:rsid w:val="007B7F8E"/>
    <w:rsid w:val="007D2A58"/>
    <w:rsid w:val="007D466A"/>
    <w:rsid w:val="007E11CE"/>
    <w:rsid w:val="007E2A1F"/>
    <w:rsid w:val="007E5583"/>
    <w:rsid w:val="007E6F23"/>
    <w:rsid w:val="007F1BC5"/>
    <w:rsid w:val="007F280D"/>
    <w:rsid w:val="00806D0C"/>
    <w:rsid w:val="00812985"/>
    <w:rsid w:val="00817674"/>
    <w:rsid w:val="0082239D"/>
    <w:rsid w:val="008271F2"/>
    <w:rsid w:val="008471D4"/>
    <w:rsid w:val="00847CCF"/>
    <w:rsid w:val="00854002"/>
    <w:rsid w:val="00861A1E"/>
    <w:rsid w:val="00862974"/>
    <w:rsid w:val="00862EEB"/>
    <w:rsid w:val="00882D13"/>
    <w:rsid w:val="00892DFB"/>
    <w:rsid w:val="008B107F"/>
    <w:rsid w:val="008B44B3"/>
    <w:rsid w:val="008B5A9A"/>
    <w:rsid w:val="008C5032"/>
    <w:rsid w:val="008D1F9D"/>
    <w:rsid w:val="008D59D2"/>
    <w:rsid w:val="008E407F"/>
    <w:rsid w:val="008F0E3B"/>
    <w:rsid w:val="008F4E78"/>
    <w:rsid w:val="0091058C"/>
    <w:rsid w:val="009122FD"/>
    <w:rsid w:val="009165D9"/>
    <w:rsid w:val="00925ED6"/>
    <w:rsid w:val="00933748"/>
    <w:rsid w:val="00934DF4"/>
    <w:rsid w:val="00935439"/>
    <w:rsid w:val="009508AC"/>
    <w:rsid w:val="00960ED8"/>
    <w:rsid w:val="009629BD"/>
    <w:rsid w:val="00970006"/>
    <w:rsid w:val="00973BE5"/>
    <w:rsid w:val="0098131C"/>
    <w:rsid w:val="009820DF"/>
    <w:rsid w:val="00983688"/>
    <w:rsid w:val="00992570"/>
    <w:rsid w:val="009A0B2E"/>
    <w:rsid w:val="009D0D29"/>
    <w:rsid w:val="009D7EB5"/>
    <w:rsid w:val="009E419A"/>
    <w:rsid w:val="009E6A59"/>
    <w:rsid w:val="009F1927"/>
    <w:rsid w:val="00A11F72"/>
    <w:rsid w:val="00A1332F"/>
    <w:rsid w:val="00A1342D"/>
    <w:rsid w:val="00A239E1"/>
    <w:rsid w:val="00A3304A"/>
    <w:rsid w:val="00A46B87"/>
    <w:rsid w:val="00A4739C"/>
    <w:rsid w:val="00A53BA0"/>
    <w:rsid w:val="00A729E8"/>
    <w:rsid w:val="00A82446"/>
    <w:rsid w:val="00A9408A"/>
    <w:rsid w:val="00AA2AD0"/>
    <w:rsid w:val="00AB5EDE"/>
    <w:rsid w:val="00AC060D"/>
    <w:rsid w:val="00AC4911"/>
    <w:rsid w:val="00AD2B3F"/>
    <w:rsid w:val="00AD4B06"/>
    <w:rsid w:val="00AD7AAE"/>
    <w:rsid w:val="00AD7CEA"/>
    <w:rsid w:val="00AE012C"/>
    <w:rsid w:val="00AE4F2B"/>
    <w:rsid w:val="00AF1FF1"/>
    <w:rsid w:val="00AF3FE1"/>
    <w:rsid w:val="00AF553D"/>
    <w:rsid w:val="00AF5927"/>
    <w:rsid w:val="00AF5B9D"/>
    <w:rsid w:val="00B02615"/>
    <w:rsid w:val="00B0312B"/>
    <w:rsid w:val="00B051ED"/>
    <w:rsid w:val="00B05252"/>
    <w:rsid w:val="00B07E0E"/>
    <w:rsid w:val="00B114EF"/>
    <w:rsid w:val="00B2187D"/>
    <w:rsid w:val="00B32F25"/>
    <w:rsid w:val="00B366AE"/>
    <w:rsid w:val="00B448F8"/>
    <w:rsid w:val="00B44B9D"/>
    <w:rsid w:val="00B66DB8"/>
    <w:rsid w:val="00B67125"/>
    <w:rsid w:val="00B7609A"/>
    <w:rsid w:val="00B8431D"/>
    <w:rsid w:val="00B878A2"/>
    <w:rsid w:val="00BA2DEC"/>
    <w:rsid w:val="00BB1E60"/>
    <w:rsid w:val="00BB3AF5"/>
    <w:rsid w:val="00BC353C"/>
    <w:rsid w:val="00BC35AB"/>
    <w:rsid w:val="00BD2BC9"/>
    <w:rsid w:val="00BD2DA2"/>
    <w:rsid w:val="00BE4F84"/>
    <w:rsid w:val="00BE5896"/>
    <w:rsid w:val="00BF1E9F"/>
    <w:rsid w:val="00BF7694"/>
    <w:rsid w:val="00C0322D"/>
    <w:rsid w:val="00C05F18"/>
    <w:rsid w:val="00C15035"/>
    <w:rsid w:val="00C16818"/>
    <w:rsid w:val="00C25EB5"/>
    <w:rsid w:val="00C62219"/>
    <w:rsid w:val="00C6637C"/>
    <w:rsid w:val="00C80B13"/>
    <w:rsid w:val="00C94146"/>
    <w:rsid w:val="00C97CA4"/>
    <w:rsid w:val="00CA0DCD"/>
    <w:rsid w:val="00CB2F57"/>
    <w:rsid w:val="00CC212B"/>
    <w:rsid w:val="00CC3DB8"/>
    <w:rsid w:val="00CC726B"/>
    <w:rsid w:val="00CD7058"/>
    <w:rsid w:val="00CF2527"/>
    <w:rsid w:val="00CF3D4B"/>
    <w:rsid w:val="00D276CD"/>
    <w:rsid w:val="00D371A9"/>
    <w:rsid w:val="00D403BB"/>
    <w:rsid w:val="00D43DDB"/>
    <w:rsid w:val="00D551DA"/>
    <w:rsid w:val="00D85B3E"/>
    <w:rsid w:val="00D865BA"/>
    <w:rsid w:val="00D9551C"/>
    <w:rsid w:val="00D95FB4"/>
    <w:rsid w:val="00D9653C"/>
    <w:rsid w:val="00DA0DFE"/>
    <w:rsid w:val="00DA4F49"/>
    <w:rsid w:val="00DB1BEA"/>
    <w:rsid w:val="00DB2C4F"/>
    <w:rsid w:val="00DC20FF"/>
    <w:rsid w:val="00DD7976"/>
    <w:rsid w:val="00DF065C"/>
    <w:rsid w:val="00E105D2"/>
    <w:rsid w:val="00E175BA"/>
    <w:rsid w:val="00E2634C"/>
    <w:rsid w:val="00E349D9"/>
    <w:rsid w:val="00E368AF"/>
    <w:rsid w:val="00E440FF"/>
    <w:rsid w:val="00E469B0"/>
    <w:rsid w:val="00E670C2"/>
    <w:rsid w:val="00E71424"/>
    <w:rsid w:val="00EC1CA1"/>
    <w:rsid w:val="00EC3EB5"/>
    <w:rsid w:val="00EC6E56"/>
    <w:rsid w:val="00ED382C"/>
    <w:rsid w:val="00ED5471"/>
    <w:rsid w:val="00EE3720"/>
    <w:rsid w:val="00EE3746"/>
    <w:rsid w:val="00EE64CB"/>
    <w:rsid w:val="00EF4EB2"/>
    <w:rsid w:val="00EF54FF"/>
    <w:rsid w:val="00F158FF"/>
    <w:rsid w:val="00F2585D"/>
    <w:rsid w:val="00F357CD"/>
    <w:rsid w:val="00F43C2C"/>
    <w:rsid w:val="00F50D50"/>
    <w:rsid w:val="00F5233F"/>
    <w:rsid w:val="00F6731A"/>
    <w:rsid w:val="00F7033E"/>
    <w:rsid w:val="00F70A34"/>
    <w:rsid w:val="00F802A8"/>
    <w:rsid w:val="00F923EC"/>
    <w:rsid w:val="00FA09EB"/>
    <w:rsid w:val="00FB61AE"/>
    <w:rsid w:val="00FC106F"/>
    <w:rsid w:val="00FD6524"/>
    <w:rsid w:val="00FE3496"/>
    <w:rsid w:val="00FF07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20" w:line="360" w:lineRule="atLeast"/>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4E78"/>
    <w:pPr>
      <w:spacing w:after="0" w:line="360" w:lineRule="auto"/>
      <w:jc w:val="both"/>
    </w:pPr>
  </w:style>
  <w:style w:type="paragraph" w:styleId="Titre1">
    <w:name w:val="heading 1"/>
    <w:basedOn w:val="Normal"/>
    <w:next w:val="Normal"/>
    <w:link w:val="Titre1Car"/>
    <w:uiPriority w:val="9"/>
    <w:qFormat/>
    <w:rsid w:val="008F4E78"/>
    <w:pPr>
      <w:keepNext/>
      <w:keepLines/>
      <w:outlineLvl w:val="0"/>
    </w:pPr>
    <w:rPr>
      <w:rFonts w:asciiTheme="majorBidi" w:eastAsiaTheme="majorEastAsia" w:hAnsiTheme="majorBidi" w:cstheme="majorBidi"/>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F4E78"/>
    <w:rPr>
      <w:rFonts w:asciiTheme="majorBidi" w:eastAsiaTheme="majorEastAsia" w:hAnsiTheme="majorBidi" w:cstheme="majorBidi"/>
      <w:b/>
      <w:bCs/>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488</Words>
  <Characters>2689</Characters>
  <Application>Microsoft Office Word</Application>
  <DocSecurity>0</DocSecurity>
  <Lines>22</Lines>
  <Paragraphs>6</Paragraphs>
  <ScaleCrop>false</ScaleCrop>
  <Company/>
  <LinksUpToDate>false</LinksUpToDate>
  <CharactersWithSpaces>3171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2017-09-27T12:28:00Z</dcterms:created>
  <dcterms:modified xsi:type="dcterms:W3CDTF">2017-09-27T12:38:00Z</dcterms:modified>
</cp:coreProperties>
</file>