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39BC" w:rsidRPr="00001995" w:rsidRDefault="003739BC" w:rsidP="003739BC">
      <w:pPr>
        <w:autoSpaceDE w:val="0"/>
        <w:autoSpaceDN w:val="0"/>
        <w:adjustRightInd w:val="0"/>
        <w:spacing w:after="120"/>
        <w:ind w:left="0" w:firstLine="0"/>
        <w:jc w:val="both"/>
        <w:rPr>
          <w:rFonts w:asciiTheme="minorBidi" w:hAnsiTheme="minorBidi"/>
          <w:b/>
          <w:bCs/>
          <w:color w:val="000000"/>
          <w:sz w:val="24"/>
          <w:szCs w:val="24"/>
        </w:rPr>
      </w:pPr>
      <w:r w:rsidRPr="00001995">
        <w:rPr>
          <w:rFonts w:asciiTheme="minorBidi" w:hAnsiTheme="minorBidi"/>
          <w:b/>
          <w:bCs/>
          <w:color w:val="000000"/>
          <w:sz w:val="24"/>
          <w:szCs w:val="24"/>
        </w:rPr>
        <w:t>Résumé :</w:t>
      </w:r>
    </w:p>
    <w:p w:rsidR="003739BC" w:rsidRPr="00001995" w:rsidRDefault="003739BC" w:rsidP="003739BC">
      <w:pPr>
        <w:autoSpaceDE w:val="0"/>
        <w:autoSpaceDN w:val="0"/>
        <w:adjustRightInd w:val="0"/>
        <w:spacing w:after="120"/>
        <w:ind w:left="0" w:firstLine="0"/>
        <w:jc w:val="both"/>
        <w:rPr>
          <w:rFonts w:asciiTheme="minorBidi" w:hAnsiTheme="minorBidi"/>
          <w:sz w:val="24"/>
          <w:szCs w:val="24"/>
        </w:rPr>
      </w:pPr>
      <w:r w:rsidRPr="00001995">
        <w:rPr>
          <w:rFonts w:asciiTheme="minorBidi" w:hAnsiTheme="minorBidi"/>
          <w:sz w:val="24"/>
          <w:szCs w:val="24"/>
        </w:rPr>
        <w:t>La présente étude porte sur l’évaluation du potentiel de biodég</w:t>
      </w:r>
      <w:r>
        <w:rPr>
          <w:rFonts w:asciiTheme="minorBidi" w:hAnsiTheme="minorBidi"/>
          <w:sz w:val="24"/>
          <w:szCs w:val="24"/>
        </w:rPr>
        <w:t xml:space="preserve">radation de l’acide </w:t>
      </w:r>
      <w:r w:rsidRPr="00001995">
        <w:rPr>
          <w:rFonts w:asciiTheme="minorBidi" w:hAnsiTheme="minorBidi"/>
          <w:sz w:val="24"/>
          <w:szCs w:val="24"/>
        </w:rPr>
        <w:t>clofibrique (CLA) par une nouvelle souche bactérienne, résistante au phénol, qui a été isolée des boues activées de la station d’épuration des eaux usées domestiques de Béni Messous (Algérie). Cette souche a été identifiée comme une bactérie gram-négative,</w:t>
      </w:r>
      <w:r w:rsidRPr="00001995">
        <w:rPr>
          <w:rFonts w:asciiTheme="minorBidi" w:hAnsiTheme="minorBidi"/>
          <w:b/>
          <w:bCs/>
          <w:i/>
          <w:iCs/>
          <w:sz w:val="24"/>
          <w:szCs w:val="24"/>
        </w:rPr>
        <w:t xml:space="preserve"> </w:t>
      </w:r>
      <w:r w:rsidRPr="00001995">
        <w:rPr>
          <w:rFonts w:asciiTheme="minorBidi" w:hAnsiTheme="minorBidi"/>
          <w:bCs/>
          <w:i/>
          <w:iCs/>
          <w:sz w:val="24"/>
          <w:szCs w:val="24"/>
        </w:rPr>
        <w:t>Pseudomonas aeruginosa</w:t>
      </w:r>
      <w:r w:rsidRPr="00001995">
        <w:rPr>
          <w:rFonts w:asciiTheme="minorBidi" w:hAnsiTheme="minorBidi"/>
          <w:bCs/>
          <w:iCs/>
          <w:sz w:val="24"/>
          <w:szCs w:val="24"/>
        </w:rPr>
        <w:t xml:space="preserve"> RZS</w:t>
      </w:r>
      <w:r w:rsidRPr="00001995">
        <w:rPr>
          <w:rFonts w:asciiTheme="minorBidi" w:hAnsiTheme="minorBidi"/>
          <w:sz w:val="24"/>
          <w:szCs w:val="24"/>
        </w:rPr>
        <w:t>9 sur la base des tests morphologiques, physiologiques, biochimiques et par séquençage de l'ARNr 16S. Une série d'expériences en batch ont été réalisées dans un milieu minéral de base (MMB) dans des conditions aérobies à différentes concentrations initiales en allant de 0,25 à 2 mg.L</w:t>
      </w:r>
      <w:r w:rsidRPr="00001995">
        <w:rPr>
          <w:rFonts w:asciiTheme="minorBidi" w:hAnsiTheme="minorBidi"/>
          <w:sz w:val="24"/>
          <w:szCs w:val="24"/>
          <w:vertAlign w:val="superscript"/>
        </w:rPr>
        <w:t>-1</w:t>
      </w:r>
      <w:r w:rsidRPr="00001995">
        <w:rPr>
          <w:rFonts w:asciiTheme="minorBidi" w:hAnsiTheme="minorBidi"/>
          <w:sz w:val="24"/>
          <w:szCs w:val="24"/>
        </w:rPr>
        <w:t>.</w:t>
      </w:r>
      <w:r w:rsidRPr="00001995">
        <w:rPr>
          <w:rFonts w:asciiTheme="minorBidi" w:hAnsiTheme="minorBidi"/>
          <w:color w:val="000000"/>
          <w:sz w:val="24"/>
          <w:szCs w:val="24"/>
        </w:rPr>
        <w:t xml:space="preserve"> </w:t>
      </w:r>
      <w:r w:rsidRPr="00001995">
        <w:rPr>
          <w:rFonts w:asciiTheme="minorBidi" w:hAnsiTheme="minorBidi"/>
          <w:sz w:val="24"/>
          <w:szCs w:val="24"/>
        </w:rPr>
        <w:t>L’influence de l’ajout d’un co-substrat carboné (2 g.L</w:t>
      </w:r>
      <w:r w:rsidRPr="00001995">
        <w:rPr>
          <w:rFonts w:asciiTheme="minorBidi" w:hAnsiTheme="minorBidi"/>
          <w:sz w:val="24"/>
          <w:szCs w:val="24"/>
          <w:vertAlign w:val="superscript"/>
        </w:rPr>
        <w:t>-1</w:t>
      </w:r>
      <w:r w:rsidRPr="00001995">
        <w:rPr>
          <w:rFonts w:asciiTheme="minorBidi" w:hAnsiTheme="minorBidi"/>
          <w:sz w:val="24"/>
          <w:szCs w:val="24"/>
        </w:rPr>
        <w:t xml:space="preserve"> de glucose) sur le rendement de biodégradation a été examinée. Une étude de l’acclimatation de la souche bactérienne au polluant a été effectuée en examinant trois protocoles différents. Les résultats obtenus ont démontré que la stratégie d'acclimatation a un impact positif sur la biodégradation du CLA. Les résultats de l’étude d’optimisation des paramètres opératoires ont révélé </w:t>
      </w:r>
      <w:r w:rsidRPr="00001995">
        <w:rPr>
          <w:rFonts w:asciiTheme="minorBidi" w:hAnsiTheme="minorBidi"/>
          <w:color w:val="000000"/>
          <w:sz w:val="24"/>
          <w:szCs w:val="24"/>
        </w:rPr>
        <w:t>une concentration optimale en glucose de 2 g.L</w:t>
      </w:r>
      <w:r w:rsidRPr="00001995">
        <w:rPr>
          <w:rFonts w:asciiTheme="minorBidi" w:hAnsiTheme="minorBidi"/>
          <w:color w:val="000000"/>
          <w:sz w:val="24"/>
          <w:szCs w:val="24"/>
          <w:vertAlign w:val="superscript"/>
        </w:rPr>
        <w:t>-1</w:t>
      </w:r>
      <w:r w:rsidRPr="00001995">
        <w:rPr>
          <w:rFonts w:asciiTheme="minorBidi" w:hAnsiTheme="minorBidi"/>
          <w:color w:val="000000"/>
          <w:sz w:val="24"/>
          <w:szCs w:val="24"/>
        </w:rPr>
        <w:t>,</w:t>
      </w:r>
      <w:r w:rsidRPr="00001995">
        <w:rPr>
          <w:rFonts w:asciiTheme="minorBidi" w:hAnsiTheme="minorBidi"/>
          <w:sz w:val="24"/>
          <w:szCs w:val="24"/>
        </w:rPr>
        <w:t xml:space="preserve"> un pH optimal de </w:t>
      </w:r>
      <w:r w:rsidRPr="00001995">
        <w:rPr>
          <w:rFonts w:asciiTheme="minorBidi" w:hAnsiTheme="minorBidi"/>
          <w:color w:val="000000"/>
          <w:sz w:val="24"/>
          <w:szCs w:val="24"/>
        </w:rPr>
        <w:t xml:space="preserve">7,0 </w:t>
      </w:r>
      <w:r w:rsidRPr="00001995">
        <w:rPr>
          <w:rFonts w:asciiTheme="minorBidi" w:hAnsiTheme="minorBidi"/>
          <w:sz w:val="24"/>
          <w:szCs w:val="24"/>
        </w:rPr>
        <w:t>et une source d’azote sous forme de NH</w:t>
      </w:r>
      <w:r w:rsidRPr="00001995">
        <w:rPr>
          <w:rFonts w:asciiTheme="minorBidi" w:hAnsiTheme="minorBidi"/>
          <w:sz w:val="24"/>
          <w:szCs w:val="24"/>
          <w:vertAlign w:val="subscript"/>
        </w:rPr>
        <w:t>4</w:t>
      </w:r>
      <w:r w:rsidRPr="00001995">
        <w:rPr>
          <w:rFonts w:asciiTheme="minorBidi" w:hAnsiTheme="minorBidi"/>
          <w:sz w:val="24"/>
          <w:szCs w:val="24"/>
        </w:rPr>
        <w:t>Cl. Dans ces conditions optimales, une étude cinétique de croissance de la souche bactérienne et de biodégradation du CLA, a été entreprise pour différentes concentrations initiales en CLA : 0,25 à 5 mg.L</w:t>
      </w:r>
      <w:r w:rsidRPr="00001995">
        <w:rPr>
          <w:rFonts w:asciiTheme="minorBidi" w:hAnsiTheme="minorBidi"/>
          <w:sz w:val="24"/>
          <w:szCs w:val="24"/>
          <w:vertAlign w:val="superscript"/>
        </w:rPr>
        <w:t>-1</w:t>
      </w:r>
      <w:r w:rsidRPr="00001995">
        <w:rPr>
          <w:rFonts w:asciiTheme="minorBidi" w:hAnsiTheme="minorBidi"/>
          <w:sz w:val="24"/>
          <w:szCs w:val="24"/>
        </w:rPr>
        <w:t>. Des rendements d’élimination compris entre 10% et 71%, selon la concentration initiale considérée en polluant, ont été obtenus. Par ailleurs, il a été montré que l’acide clofibrique présente un comportement inhibiteur pour des concentrations supérieures à 1 mg.L</w:t>
      </w:r>
      <w:r w:rsidRPr="00001995">
        <w:rPr>
          <w:rFonts w:asciiTheme="minorBidi" w:hAnsiTheme="minorBidi"/>
          <w:sz w:val="24"/>
          <w:szCs w:val="24"/>
          <w:vertAlign w:val="superscript"/>
        </w:rPr>
        <w:t>-1</w:t>
      </w:r>
      <w:r w:rsidRPr="00001995">
        <w:rPr>
          <w:rFonts w:asciiTheme="minorBidi" w:hAnsiTheme="minorBidi"/>
          <w:sz w:val="24"/>
          <w:szCs w:val="24"/>
        </w:rPr>
        <w:t>. L’identification des métabolites de dégradation de CLA</w:t>
      </w:r>
      <w:r w:rsidRPr="00001995">
        <w:rPr>
          <w:rFonts w:asciiTheme="minorBidi" w:hAnsiTheme="minorBidi"/>
          <w:color w:val="FF0000"/>
          <w:sz w:val="24"/>
          <w:szCs w:val="24"/>
        </w:rPr>
        <w:t xml:space="preserve"> </w:t>
      </w:r>
      <w:r w:rsidRPr="00001995">
        <w:rPr>
          <w:rFonts w:asciiTheme="minorBidi" w:hAnsiTheme="minorBidi"/>
          <w:sz w:val="24"/>
          <w:szCs w:val="24"/>
        </w:rPr>
        <w:t xml:space="preserve">par HPLC, a mis en évidence la formation de trois métabolites biodégradables. </w:t>
      </w:r>
      <w:r w:rsidRPr="00001995">
        <w:rPr>
          <w:rFonts w:asciiTheme="minorBidi" w:hAnsiTheme="minorBidi"/>
          <w:bCs/>
          <w:sz w:val="24"/>
          <w:szCs w:val="24"/>
        </w:rPr>
        <w:t xml:space="preserve">Les résultats relatifs à la description de la cinétique de biodégradation de l’acide clofibrique par la souche </w:t>
      </w:r>
      <w:r w:rsidRPr="00001995">
        <w:rPr>
          <w:rFonts w:asciiTheme="minorBidi" w:hAnsiTheme="minorBidi"/>
          <w:bCs/>
          <w:i/>
          <w:iCs/>
          <w:sz w:val="24"/>
          <w:szCs w:val="24"/>
        </w:rPr>
        <w:t>Pseudomonas aeruginosa</w:t>
      </w:r>
      <w:r w:rsidRPr="00001995">
        <w:rPr>
          <w:rFonts w:asciiTheme="minorBidi" w:hAnsiTheme="minorBidi"/>
          <w:bCs/>
          <w:iCs/>
          <w:sz w:val="24"/>
          <w:szCs w:val="24"/>
        </w:rPr>
        <w:t xml:space="preserve"> RZS</w:t>
      </w:r>
      <w:r w:rsidRPr="00001995">
        <w:rPr>
          <w:rFonts w:asciiTheme="minorBidi" w:hAnsiTheme="minorBidi"/>
          <w:bCs/>
          <w:sz w:val="24"/>
          <w:szCs w:val="24"/>
        </w:rPr>
        <w:t xml:space="preserve">9, ont confirmé </w:t>
      </w:r>
      <w:r w:rsidRPr="00001995">
        <w:rPr>
          <w:rFonts w:asciiTheme="minorBidi" w:hAnsiTheme="minorBidi"/>
          <w:sz w:val="24"/>
          <w:szCs w:val="24"/>
        </w:rPr>
        <w:t>le comportement inhibiteur de CLA pour des concentrations supérieures à 1 mg.L</w:t>
      </w:r>
      <w:r w:rsidRPr="00001995">
        <w:rPr>
          <w:rFonts w:asciiTheme="minorBidi" w:hAnsiTheme="minorBidi"/>
          <w:sz w:val="24"/>
          <w:szCs w:val="24"/>
          <w:vertAlign w:val="superscript"/>
        </w:rPr>
        <w:t>-1</w:t>
      </w:r>
      <w:r w:rsidRPr="00001995">
        <w:rPr>
          <w:rFonts w:asciiTheme="minorBidi" w:hAnsiTheme="minorBidi"/>
          <w:sz w:val="24"/>
          <w:szCs w:val="24"/>
        </w:rPr>
        <w:t xml:space="preserve">. L’application de divers modèles cinétiques, décrivant le comportement inhibiteur du substrat, aux résultats expérimentaux, a révélé que </w:t>
      </w:r>
      <w:r w:rsidRPr="00001995">
        <w:rPr>
          <w:rStyle w:val="tlid-translation"/>
          <w:rFonts w:asciiTheme="minorBidi" w:hAnsiTheme="minorBidi"/>
          <w:sz w:val="24"/>
          <w:szCs w:val="24"/>
        </w:rPr>
        <w:t xml:space="preserve">les modèles de </w:t>
      </w:r>
      <w:r w:rsidRPr="00001995">
        <w:rPr>
          <w:rFonts w:asciiTheme="minorBidi" w:hAnsiTheme="minorBidi"/>
          <w:sz w:val="24"/>
          <w:szCs w:val="24"/>
        </w:rPr>
        <w:t>Luong</w:t>
      </w:r>
      <w:r w:rsidRPr="00001995">
        <w:rPr>
          <w:rStyle w:val="tlid-translation"/>
          <w:rFonts w:asciiTheme="minorBidi" w:hAnsiTheme="minorBidi"/>
          <w:sz w:val="24"/>
          <w:szCs w:val="24"/>
        </w:rPr>
        <w:t xml:space="preserve">, Yano, </w:t>
      </w:r>
      <w:r w:rsidRPr="00001995">
        <w:rPr>
          <w:rFonts w:asciiTheme="minorBidi" w:hAnsiTheme="minorBidi"/>
          <w:sz w:val="24"/>
          <w:szCs w:val="24"/>
        </w:rPr>
        <w:t>Aiba</w:t>
      </w:r>
      <w:r w:rsidRPr="00001995">
        <w:rPr>
          <w:rStyle w:val="tlid-translation"/>
          <w:rFonts w:asciiTheme="minorBidi" w:hAnsiTheme="minorBidi"/>
          <w:sz w:val="24"/>
          <w:szCs w:val="24"/>
        </w:rPr>
        <w:t xml:space="preserve"> et </w:t>
      </w:r>
      <w:r w:rsidRPr="00001995">
        <w:rPr>
          <w:rFonts w:asciiTheme="minorBidi" w:hAnsiTheme="minorBidi"/>
          <w:sz w:val="24"/>
          <w:szCs w:val="24"/>
        </w:rPr>
        <w:t>Haldane sont en parfaite adéquation avec les résultats obtenus.</w:t>
      </w:r>
    </w:p>
    <w:p w:rsidR="00871F4D" w:rsidRPr="004B7C10" w:rsidRDefault="00871F4D" w:rsidP="00871F4D">
      <w:pPr>
        <w:spacing w:line="360" w:lineRule="auto"/>
        <w:jc w:val="both"/>
        <w:rPr>
          <w:rFonts w:asciiTheme="minorBidi" w:hAnsiTheme="minorBidi"/>
          <w:sz w:val="24"/>
          <w:szCs w:val="24"/>
        </w:rPr>
      </w:pPr>
      <w:bookmarkStart w:id="0" w:name="_GoBack"/>
      <w:bookmarkEnd w:id="0"/>
    </w:p>
    <w:sectPr w:rsidR="00871F4D" w:rsidRPr="004B7C10" w:rsidSect="004D0E08">
      <w:headerReference w:type="default" r:id="rId8"/>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28F2" w:rsidRDefault="00B528F2" w:rsidP="00BD3C6A">
      <w:pPr>
        <w:spacing w:line="240" w:lineRule="auto"/>
      </w:pPr>
      <w:r>
        <w:separator/>
      </w:r>
    </w:p>
  </w:endnote>
  <w:endnote w:type="continuationSeparator" w:id="0">
    <w:p w:rsidR="00B528F2" w:rsidRDefault="00B528F2" w:rsidP="00BD3C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Perpetua">
    <w:panose1 w:val="02020502060401020303"/>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28F2" w:rsidRDefault="00B528F2" w:rsidP="00BD3C6A">
      <w:pPr>
        <w:spacing w:line="240" w:lineRule="auto"/>
      </w:pPr>
      <w:r>
        <w:separator/>
      </w:r>
    </w:p>
  </w:footnote>
  <w:footnote w:type="continuationSeparator" w:id="0">
    <w:p w:rsidR="00B528F2" w:rsidRDefault="00B528F2" w:rsidP="00BD3C6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F4D" w:rsidRPr="00871F4D" w:rsidRDefault="00871F4D">
    <w:pPr>
      <w:pStyle w:val="En-tte"/>
      <w:rPr>
        <w:rFonts w:asciiTheme="minorBidi" w:hAnsiTheme="minorBidi"/>
        <w:b/>
        <w:bCs/>
        <w:color w:val="7F7F7F" w:themeColor="text1" w:themeTint="80"/>
      </w:rPr>
    </w:pPr>
    <w:r w:rsidRPr="00871F4D">
      <w:rPr>
        <w:rFonts w:asciiTheme="minorBidi" w:hAnsiTheme="minorBidi"/>
        <w:b/>
        <w:bCs/>
        <w:color w:val="7F7F7F" w:themeColor="text1" w:themeTint="80"/>
        <w:sz w:val="24"/>
        <w:szCs w:val="24"/>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B2991"/>
    <w:rsid w:val="00001995"/>
    <w:rsid w:val="00035CBA"/>
    <w:rsid w:val="00077755"/>
    <w:rsid w:val="00084DBC"/>
    <w:rsid w:val="000B5301"/>
    <w:rsid w:val="000E58A6"/>
    <w:rsid w:val="001012AF"/>
    <w:rsid w:val="00103153"/>
    <w:rsid w:val="00155004"/>
    <w:rsid w:val="00172684"/>
    <w:rsid w:val="00187E87"/>
    <w:rsid w:val="001A1557"/>
    <w:rsid w:val="00201915"/>
    <w:rsid w:val="002C22F3"/>
    <w:rsid w:val="002C3E1A"/>
    <w:rsid w:val="00311235"/>
    <w:rsid w:val="00351DD1"/>
    <w:rsid w:val="003739BC"/>
    <w:rsid w:val="003E1988"/>
    <w:rsid w:val="0041304D"/>
    <w:rsid w:val="004B7C10"/>
    <w:rsid w:val="004D0E08"/>
    <w:rsid w:val="004F6E23"/>
    <w:rsid w:val="005362C2"/>
    <w:rsid w:val="00593F46"/>
    <w:rsid w:val="005A60CF"/>
    <w:rsid w:val="005E4514"/>
    <w:rsid w:val="006739B1"/>
    <w:rsid w:val="006B0C8C"/>
    <w:rsid w:val="006D4281"/>
    <w:rsid w:val="006E3AD4"/>
    <w:rsid w:val="007771B8"/>
    <w:rsid w:val="007F60EE"/>
    <w:rsid w:val="008236B1"/>
    <w:rsid w:val="00871F4D"/>
    <w:rsid w:val="00884EDF"/>
    <w:rsid w:val="0089522E"/>
    <w:rsid w:val="008D1182"/>
    <w:rsid w:val="00907B9F"/>
    <w:rsid w:val="009A5CDA"/>
    <w:rsid w:val="00A8077B"/>
    <w:rsid w:val="00B16393"/>
    <w:rsid w:val="00B528F2"/>
    <w:rsid w:val="00BC7782"/>
    <w:rsid w:val="00BD3C6A"/>
    <w:rsid w:val="00C229C6"/>
    <w:rsid w:val="00C56644"/>
    <w:rsid w:val="00C64861"/>
    <w:rsid w:val="00CB43E8"/>
    <w:rsid w:val="00CC7A3D"/>
    <w:rsid w:val="00D944E0"/>
    <w:rsid w:val="00DB2991"/>
    <w:rsid w:val="00DD732E"/>
    <w:rsid w:val="00DE2ACD"/>
    <w:rsid w:val="00E47F13"/>
    <w:rsid w:val="00E60086"/>
    <w:rsid w:val="00EF04ED"/>
    <w:rsid w:val="00F3153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2991"/>
    <w:pPr>
      <w:spacing w:after="0" w:line="300" w:lineRule="atLeast"/>
      <w:ind w:left="709" w:hanging="709"/>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B163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firstLine="0"/>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B16393"/>
    <w:rPr>
      <w:rFonts w:ascii="Courier New" w:eastAsia="Times New Roman" w:hAnsi="Courier New" w:cs="Courier New"/>
      <w:sz w:val="20"/>
      <w:szCs w:val="20"/>
      <w:lang w:eastAsia="fr-FR"/>
    </w:rPr>
  </w:style>
  <w:style w:type="character" w:customStyle="1" w:styleId="tlid-translation">
    <w:name w:val="tlid-translation"/>
    <w:basedOn w:val="Policepardfaut"/>
    <w:rsid w:val="00001995"/>
  </w:style>
  <w:style w:type="paragraph" w:styleId="En-tte">
    <w:name w:val="header"/>
    <w:basedOn w:val="Normal"/>
    <w:link w:val="En-tteCar"/>
    <w:uiPriority w:val="99"/>
    <w:semiHidden/>
    <w:unhideWhenUsed/>
    <w:rsid w:val="00BD3C6A"/>
    <w:pPr>
      <w:tabs>
        <w:tab w:val="center" w:pos="4536"/>
        <w:tab w:val="right" w:pos="9072"/>
      </w:tabs>
      <w:spacing w:line="240" w:lineRule="auto"/>
    </w:pPr>
  </w:style>
  <w:style w:type="character" w:customStyle="1" w:styleId="En-tteCar">
    <w:name w:val="En-tête Car"/>
    <w:basedOn w:val="Policepardfaut"/>
    <w:link w:val="En-tte"/>
    <w:uiPriority w:val="99"/>
    <w:semiHidden/>
    <w:rsid w:val="00BD3C6A"/>
  </w:style>
  <w:style w:type="paragraph" w:styleId="Pieddepage">
    <w:name w:val="footer"/>
    <w:basedOn w:val="Normal"/>
    <w:link w:val="PieddepageCar"/>
    <w:uiPriority w:val="99"/>
    <w:semiHidden/>
    <w:unhideWhenUsed/>
    <w:rsid w:val="00BD3C6A"/>
    <w:pPr>
      <w:tabs>
        <w:tab w:val="center" w:pos="4536"/>
        <w:tab w:val="right" w:pos="9072"/>
      </w:tabs>
      <w:spacing w:line="240" w:lineRule="auto"/>
    </w:pPr>
  </w:style>
  <w:style w:type="character" w:customStyle="1" w:styleId="PieddepageCar">
    <w:name w:val="Pied de page Car"/>
    <w:basedOn w:val="Policepardfaut"/>
    <w:link w:val="Pieddepage"/>
    <w:uiPriority w:val="99"/>
    <w:semiHidden/>
    <w:rsid w:val="00BD3C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7808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apitaux">
      <a:majorFont>
        <a:latin typeface="Franklin Gothic Book"/>
        <a:ea typeface=""/>
        <a:cs typeface=""/>
        <a:font script="Grek" typeface="Calibri"/>
        <a:font script="Cyrl" typeface="Calibri"/>
        <a:font script="Jpan" typeface="HGｺﾞｼｯｸM"/>
        <a:font script="Hang" typeface="바탕"/>
        <a:font script="Hans" typeface="幼圆"/>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Perpetua"/>
        <a:ea typeface=""/>
        <a:cs typeface=""/>
        <a:font script="Grek" typeface="Cambria"/>
        <a:font script="Cyrl" typeface="Cambria"/>
        <a:font script="Jpan" typeface="HG創英ﾌﾟﾚｾﾞﾝｽEB"/>
        <a:font script="Hang" typeface="맑은 고딕"/>
        <a:font script="Hans" typeface="宋体"/>
        <a:font script="Hant" typeface="新細明體"/>
        <a:font script="Arab" typeface="Times New Roman"/>
        <a:font script="Hebr" typeface="Aharoni"/>
        <a:font script="Thai" typeface="Eucrosia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70EEF1-524E-4A7D-8FC7-8CD0A810F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352</Words>
  <Characters>1940</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Edition ULTRA</Company>
  <LinksUpToDate>false</LinksUpToDate>
  <CharactersWithSpaces>2288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Edition ULTRA</dc:creator>
  <cp:lastModifiedBy>b-13</cp:lastModifiedBy>
  <cp:revision>9</cp:revision>
  <cp:lastPrinted>2018-11-05T22:50:00Z</cp:lastPrinted>
  <dcterms:created xsi:type="dcterms:W3CDTF">2018-11-04T14:07:00Z</dcterms:created>
  <dcterms:modified xsi:type="dcterms:W3CDTF">2019-09-15T09:35:00Z</dcterms:modified>
</cp:coreProperties>
</file>