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B4B" w:rsidRDefault="00024B4B" w:rsidP="00024B4B">
      <w:r>
        <w:t xml:space="preserve">Les mesures du pouvoir d'arrêt et du straggling des ions dans des matériaux de différentes natures connaissent un regain d'intérêt croissant. C'est au regard de cette perspective que nous avons mesuré les pouvoirs d'arrêts et les straggling des protons et des particules alpha traversant les cibles de formvar (C5H8O2)n et de kapton (C22H10 N2O5)n . L'objectif de ces mesures est de contribuer à l'élargissement de la base de données expérimentale aussi bien par de nouvelles données que par l'amélioration de la précision de celles déjà existantes.  Les données expérimentales rapportées dans ce travail ont été mesurées auprès de l'accélérateur Van de Graaff (V.d.G-3.75 MV) du CRNA, où la gamme d'énergie ~ (0.2 - 3.4 MeV) a été explorée, par la  méthode dite de "transmission après rétrodiffusion". Les incertitudes relatives de ces mesures sont inferieures à 1.5% et à 15% pour le pouvoir d'arrêt et le straggling, respectivement. </w:t>
      </w:r>
    </w:p>
    <w:p w:rsidR="00024B4B" w:rsidRDefault="00024B4B" w:rsidP="00024B4B">
      <w:r>
        <w:t>Nos valeurs obtenues des pouvoirs d'arrêts ont été comparées aux valeurs expérimentales rapportées dans la littérature où  un accord global est observé. Par ailleurs ces mêmes données sont en excellente accord avec les valeurs compilées dans le rapport ICRU-49 et elles sont bien reproduites, aux erreurs expérimentales près, par le code SRIM-2008 basé sur la règle d'additivité de  Bragg-Kleeman. Cette dernière cesse d'être valide, pour les deux polymères étudiés, dans la région des vitesses faibles du projectile où des écarts moyens de l'ordre 3 à 4.5% ont été observés.</w:t>
      </w:r>
    </w:p>
    <w:p w:rsidR="00644019" w:rsidRDefault="00024B4B" w:rsidP="00024B4B">
      <w:r>
        <w:t>Concernent le straggling collisionnel nos résultats obtenus sont, à notre connaissance, uniques dans les régions des énergies explorées. Par conséquent, elles ont seulement été confrontées aux prédictions des modèles théoriques de Bohr, de Bethe-Livingston et Sigmund-Schinner, évaluées sous l'hypothèse de la validité de la règle de Bragg. Aux incertitudes expérimentales près, nos mesures sont bien reproduites par les trois modèles dans la région des énergies élevées où la perte d'énergie relatives est comprise entre ~ 5% et ~ 35%. Par contre, pour les basses énergies du projectile, nos données surestiment les prédictions de ces modèles et particulièrement aux très basses valeurs d'énergies. En plus des stragglings d'échange de charges et de corrélation, une contribution à l'élargissement, d'origine non statistique, rentre vraisemblablement en jeu pour des pertes d'énergie élevées où les collisions multiples deviennent prépondérantes.</w:t>
      </w:r>
    </w:p>
    <w:sectPr w:rsidR="00644019" w:rsidSect="0064401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24B4B"/>
    <w:rsid w:val="00024B4B"/>
    <w:rsid w:val="006440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401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378</Words>
  <Characters>2083</Characters>
  <Application>Microsoft Office Word</Application>
  <DocSecurity>0</DocSecurity>
  <Lines>17</Lines>
  <Paragraphs>4</Paragraphs>
  <ScaleCrop>false</ScaleCrop>
  <Company/>
  <LinksUpToDate>false</LinksUpToDate>
  <CharactersWithSpaces>2457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2015-01-19T10:04:00Z</dcterms:created>
  <dcterms:modified xsi:type="dcterms:W3CDTF">2015-01-19T10:05:00Z</dcterms:modified>
</cp:coreProperties>
</file>