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377" w:rsidRDefault="003A1377" w:rsidP="003A1377">
      <w:pPr>
        <w:rPr>
          <w:lang w:bidi="ar-DZ"/>
        </w:rPr>
      </w:pPr>
      <w:r>
        <w:rPr>
          <w:lang w:bidi="ar-DZ"/>
        </w:rPr>
        <w:t>Dans ce travail une modulation pharmacologique a été réalisée  sur la  leishmaniose cutanée expérimentale induite par le parasite Leishmania major, in vivo et in vitro</w:t>
      </w:r>
      <w:r>
        <w:rPr>
          <w:rFonts w:cs="Arial"/>
          <w:rtl/>
          <w:lang w:bidi="ar-DZ"/>
        </w:rPr>
        <w:t xml:space="preserve">. </w:t>
      </w:r>
    </w:p>
    <w:p w:rsidR="003A1377" w:rsidRDefault="003A1377" w:rsidP="003A1377">
      <w:pPr>
        <w:rPr>
          <w:lang w:bidi="ar-DZ"/>
        </w:rPr>
      </w:pPr>
      <w:r>
        <w:rPr>
          <w:rFonts w:cs="Arial"/>
          <w:rtl/>
          <w:lang w:bidi="ar-DZ"/>
        </w:rPr>
        <w:t xml:space="preserve">         1-</w:t>
      </w:r>
      <w:r>
        <w:rPr>
          <w:lang w:bidi="ar-DZ"/>
        </w:rPr>
        <w:t xml:space="preserve">Dans l'étude in vivo, </w:t>
      </w:r>
      <w:r>
        <w:rPr>
          <w:rFonts w:cs="Arial"/>
          <w:rtl/>
          <w:lang w:bidi="ar-DZ"/>
        </w:rPr>
        <w:t xml:space="preserve">5 </w:t>
      </w:r>
      <w:r>
        <w:rPr>
          <w:lang w:bidi="ar-DZ"/>
        </w:rPr>
        <w:t xml:space="preserve">lots  de souris  BALB/c  ont reçu au niveau de la patte postérieure gauche </w:t>
      </w:r>
      <w:r>
        <w:rPr>
          <w:rFonts w:cs="Arial"/>
          <w:rtl/>
          <w:lang w:bidi="ar-DZ"/>
        </w:rPr>
        <w:t xml:space="preserve">3 </w:t>
      </w:r>
      <w:r>
        <w:rPr>
          <w:lang w:bidi="ar-DZ"/>
        </w:rPr>
        <w:t xml:space="preserve">x </w:t>
      </w:r>
      <w:r>
        <w:rPr>
          <w:rFonts w:cs="Arial"/>
          <w:rtl/>
          <w:lang w:bidi="ar-DZ"/>
        </w:rPr>
        <w:t xml:space="preserve">106 </w:t>
      </w:r>
      <w:r>
        <w:rPr>
          <w:lang w:bidi="ar-DZ"/>
        </w:rPr>
        <w:t>promastigotes de Leishmania major (MHOM/DZ/</w:t>
      </w:r>
      <w:r>
        <w:rPr>
          <w:rFonts w:cs="Arial"/>
          <w:rtl/>
          <w:lang w:bidi="ar-DZ"/>
        </w:rPr>
        <w:t>2000</w:t>
      </w:r>
      <w:r>
        <w:rPr>
          <w:lang w:bidi="ar-DZ"/>
        </w:rPr>
        <w:t>/LIPA</w:t>
      </w:r>
      <w:r>
        <w:rPr>
          <w:rFonts w:cs="Arial"/>
          <w:rtl/>
          <w:lang w:bidi="ar-DZ"/>
        </w:rPr>
        <w:t>1126</w:t>
      </w:r>
      <w:r>
        <w:rPr>
          <w:lang w:bidi="ar-DZ"/>
        </w:rPr>
        <w:t xml:space="preserve">, Leishmania, Institut Pasteur, Alger). A la </w:t>
      </w:r>
      <w:r>
        <w:rPr>
          <w:rFonts w:cs="Arial"/>
          <w:rtl/>
          <w:lang w:bidi="ar-DZ"/>
        </w:rPr>
        <w:t>4</w:t>
      </w:r>
      <w:r>
        <w:rPr>
          <w:lang w:bidi="ar-DZ"/>
        </w:rPr>
        <w:t xml:space="preserve">ème semaine post infection, les souris des lots </w:t>
      </w:r>
      <w:r>
        <w:rPr>
          <w:rFonts w:cs="Arial"/>
          <w:rtl/>
          <w:lang w:bidi="ar-DZ"/>
        </w:rPr>
        <w:t>1</w:t>
      </w:r>
      <w:r>
        <w:rPr>
          <w:lang w:bidi="ar-DZ"/>
        </w:rPr>
        <w:t xml:space="preserve">, </w:t>
      </w:r>
      <w:r>
        <w:rPr>
          <w:rFonts w:cs="Arial"/>
          <w:rtl/>
          <w:lang w:bidi="ar-DZ"/>
        </w:rPr>
        <w:t>2</w:t>
      </w:r>
      <w:r>
        <w:rPr>
          <w:lang w:bidi="ar-DZ"/>
        </w:rPr>
        <w:t xml:space="preserve">, </w:t>
      </w:r>
      <w:r>
        <w:rPr>
          <w:rFonts w:cs="Arial"/>
          <w:rtl/>
          <w:lang w:bidi="ar-DZ"/>
        </w:rPr>
        <w:t>3</w:t>
      </w:r>
      <w:r>
        <w:rPr>
          <w:lang w:bidi="ar-DZ"/>
        </w:rPr>
        <w:t xml:space="preserve">, et </w:t>
      </w:r>
      <w:r>
        <w:rPr>
          <w:rFonts w:cs="Arial"/>
          <w:rtl/>
          <w:lang w:bidi="ar-DZ"/>
        </w:rPr>
        <w:t xml:space="preserve">4 </w:t>
      </w:r>
      <w:r>
        <w:rPr>
          <w:lang w:bidi="ar-DZ"/>
        </w:rPr>
        <w:t xml:space="preserve">ont reçu </w:t>
      </w:r>
      <w:r>
        <w:rPr>
          <w:rFonts w:cs="Arial"/>
          <w:rtl/>
          <w:lang w:bidi="ar-DZ"/>
        </w:rPr>
        <w:t xml:space="preserve">20 </w:t>
      </w:r>
      <w:r>
        <w:rPr>
          <w:lang w:bidi="ar-DZ"/>
        </w:rPr>
        <w:t xml:space="preserve">mg/kg/jour de glucantime(Glu), </w:t>
      </w:r>
      <w:r>
        <w:rPr>
          <w:rFonts w:cs="Arial"/>
          <w:rtl/>
          <w:lang w:bidi="ar-DZ"/>
        </w:rPr>
        <w:t>4</w:t>
      </w:r>
      <w:r>
        <w:rPr>
          <w:lang w:bidi="ar-DZ"/>
        </w:rPr>
        <w:t xml:space="preserve">mg/kg/j de Diclofenac-Na (diclo-Na), </w:t>
      </w:r>
      <w:r>
        <w:rPr>
          <w:rFonts w:cs="Arial"/>
          <w:rtl/>
          <w:lang w:bidi="ar-DZ"/>
        </w:rPr>
        <w:t xml:space="preserve">25 </w:t>
      </w:r>
      <w:r>
        <w:rPr>
          <w:lang w:bidi="ar-DZ"/>
        </w:rPr>
        <w:t xml:space="preserve">mg/kg /jour de Quercétine (Qr) et </w:t>
      </w:r>
      <w:r>
        <w:rPr>
          <w:rFonts w:cs="Arial"/>
          <w:rtl/>
          <w:lang w:bidi="ar-DZ"/>
        </w:rPr>
        <w:t xml:space="preserve">25 </w:t>
      </w:r>
      <w:r>
        <w:rPr>
          <w:lang w:bidi="ar-DZ"/>
        </w:rPr>
        <w:t xml:space="preserve">mg/kg /jour d'acide caféique (CA) par voie intra péritonéale (i.p) respectivement, le lot </w:t>
      </w:r>
      <w:r>
        <w:rPr>
          <w:rFonts w:cs="Arial"/>
          <w:rtl/>
          <w:lang w:bidi="ar-DZ"/>
        </w:rPr>
        <w:t>5</w:t>
      </w:r>
      <w:r>
        <w:rPr>
          <w:lang w:bidi="ar-DZ"/>
        </w:rPr>
        <w:t xml:space="preserve">, lot contrôle,  ne reçoit aucun traitement. La taille des lésions au niveau du coussinet plantaire gauche des souris BALB/c infestées par Leishmania major (L.major), augmente au cours de l'infection  atteignant un maximum de </w:t>
      </w:r>
      <w:r>
        <w:rPr>
          <w:rFonts w:cs="Arial"/>
          <w:rtl/>
          <w:lang w:bidi="ar-DZ"/>
        </w:rPr>
        <w:t xml:space="preserve">5,75 </w:t>
      </w:r>
      <w:r>
        <w:rPr>
          <w:lang w:bidi="ar-DZ"/>
        </w:rPr>
        <w:t xml:space="preserve">± </w:t>
      </w:r>
      <w:r>
        <w:rPr>
          <w:rFonts w:cs="Arial"/>
          <w:rtl/>
          <w:lang w:bidi="ar-DZ"/>
        </w:rPr>
        <w:t xml:space="preserve">0,5 </w:t>
      </w:r>
      <w:r>
        <w:rPr>
          <w:lang w:bidi="ar-DZ"/>
        </w:rPr>
        <w:t xml:space="preserve">mm à la dernière semaine de l'infestation (semaine </w:t>
      </w:r>
      <w:r>
        <w:rPr>
          <w:rFonts w:cs="Arial"/>
          <w:rtl/>
          <w:lang w:bidi="ar-DZ"/>
        </w:rPr>
        <w:t>9).</w:t>
      </w:r>
    </w:p>
    <w:p w:rsidR="003A1377" w:rsidRDefault="003A1377" w:rsidP="003A1377">
      <w:pPr>
        <w:rPr>
          <w:lang w:bidi="ar-DZ"/>
        </w:rPr>
      </w:pPr>
      <w:r>
        <w:rPr>
          <w:lang w:bidi="ar-DZ"/>
        </w:rPr>
        <w:t xml:space="preserve">Les souris BALB/c infectées et traitées par le diclo-Na, la Qr, le CA, et le Glu ,   présentent une diminution progressive de la taille de l'œdème plantaire avec des taux d'inhibition respectifs de </w:t>
      </w:r>
      <w:r>
        <w:rPr>
          <w:rFonts w:cs="Arial"/>
          <w:rtl/>
          <w:lang w:bidi="ar-DZ"/>
        </w:rPr>
        <w:t>94,26%</w:t>
      </w:r>
      <w:r>
        <w:rPr>
          <w:lang w:bidi="ar-DZ"/>
        </w:rPr>
        <w:t>,</w:t>
      </w:r>
      <w:r>
        <w:rPr>
          <w:rFonts w:cs="Arial"/>
          <w:rtl/>
          <w:lang w:bidi="ar-DZ"/>
        </w:rPr>
        <w:t xml:space="preserve">76,87% </w:t>
      </w:r>
      <w:r>
        <w:rPr>
          <w:lang w:bidi="ar-DZ"/>
        </w:rPr>
        <w:t xml:space="preserve">, </w:t>
      </w:r>
      <w:r>
        <w:rPr>
          <w:rFonts w:cs="Arial"/>
          <w:rtl/>
          <w:lang w:bidi="ar-DZ"/>
        </w:rPr>
        <w:t xml:space="preserve">95,6% </w:t>
      </w:r>
      <w:r>
        <w:rPr>
          <w:lang w:bidi="ar-DZ"/>
        </w:rPr>
        <w:t xml:space="preserve">et </w:t>
      </w:r>
      <w:r>
        <w:rPr>
          <w:rFonts w:cs="Arial"/>
          <w:rtl/>
          <w:lang w:bidi="ar-DZ"/>
        </w:rPr>
        <w:t>70%</w:t>
      </w:r>
      <w:r>
        <w:rPr>
          <w:lang w:bidi="ar-DZ"/>
        </w:rPr>
        <w:t xml:space="preserve">, à la dernière semaine de l'infection. Le taux des nitrites mesuré au niveau du tissu plantaire présente une diminution très significative aux  semaines  </w:t>
      </w:r>
      <w:r>
        <w:rPr>
          <w:rFonts w:cs="Arial"/>
          <w:rtl/>
          <w:lang w:bidi="ar-DZ"/>
        </w:rPr>
        <w:t>8</w:t>
      </w:r>
      <w:r>
        <w:rPr>
          <w:lang w:bidi="ar-DZ"/>
        </w:rPr>
        <w:t xml:space="preserve">, et </w:t>
      </w:r>
      <w:r>
        <w:rPr>
          <w:rFonts w:cs="Arial"/>
          <w:rtl/>
          <w:lang w:bidi="ar-DZ"/>
        </w:rPr>
        <w:t xml:space="preserve">9 </w:t>
      </w:r>
      <w:r>
        <w:rPr>
          <w:lang w:bidi="ar-DZ"/>
        </w:rPr>
        <w:t>de l'infection (</w:t>
      </w:r>
      <w:r>
        <w:rPr>
          <w:rFonts w:cs="Arial"/>
          <w:rtl/>
          <w:lang w:bidi="ar-DZ"/>
        </w:rPr>
        <w:t>36%</w:t>
      </w:r>
      <w:r>
        <w:rPr>
          <w:lang w:bidi="ar-DZ"/>
        </w:rPr>
        <w:t>, p?</w:t>
      </w:r>
      <w:r>
        <w:rPr>
          <w:rFonts w:cs="Arial"/>
          <w:rtl/>
          <w:lang w:bidi="ar-DZ"/>
        </w:rPr>
        <w:t xml:space="preserve">0,02 </w:t>
      </w:r>
      <w:r>
        <w:rPr>
          <w:lang w:bidi="ar-DZ"/>
        </w:rPr>
        <w:t>et p?</w:t>
      </w:r>
      <w:r>
        <w:rPr>
          <w:rFonts w:cs="Arial"/>
          <w:rtl/>
          <w:lang w:bidi="ar-DZ"/>
        </w:rPr>
        <w:t xml:space="preserve">0,01 </w:t>
      </w:r>
      <w:r>
        <w:rPr>
          <w:lang w:bidi="ar-DZ"/>
        </w:rPr>
        <w:t xml:space="preserve">respectivement). Après </w:t>
      </w:r>
      <w:r>
        <w:rPr>
          <w:rFonts w:cs="Arial"/>
          <w:rtl/>
          <w:lang w:bidi="ar-DZ"/>
        </w:rPr>
        <w:t xml:space="preserve">8 </w:t>
      </w:r>
      <w:r>
        <w:rPr>
          <w:lang w:bidi="ar-DZ"/>
        </w:rPr>
        <w:t xml:space="preserve">semaines d'infection, le traitement par le diclo-Na potentialise le taux de NO très significativement avec un pourcentage d'augmentation de </w:t>
      </w:r>
      <w:r>
        <w:rPr>
          <w:rFonts w:cs="Arial"/>
          <w:rtl/>
          <w:lang w:bidi="ar-DZ"/>
        </w:rPr>
        <w:t xml:space="preserve">75% </w:t>
      </w:r>
      <w:r>
        <w:rPr>
          <w:lang w:bidi="ar-DZ"/>
        </w:rPr>
        <w:t>(p?</w:t>
      </w:r>
      <w:r>
        <w:rPr>
          <w:rFonts w:cs="Arial"/>
          <w:rtl/>
          <w:lang w:bidi="ar-DZ"/>
        </w:rPr>
        <w:t>0,001</w:t>
      </w:r>
      <w:r>
        <w:rPr>
          <w:lang w:bidi="ar-DZ"/>
        </w:rPr>
        <w:t xml:space="preserve">), de même, le traitement par les deux polyphénols induit une potentialisation très significative avec </w:t>
      </w:r>
      <w:r>
        <w:rPr>
          <w:rFonts w:cs="Arial"/>
          <w:rtl/>
          <w:lang w:bidi="ar-DZ"/>
        </w:rPr>
        <w:t xml:space="preserve">83% </w:t>
      </w:r>
      <w:r>
        <w:rPr>
          <w:lang w:bidi="ar-DZ"/>
        </w:rPr>
        <w:t xml:space="preserve">et </w:t>
      </w:r>
      <w:r>
        <w:rPr>
          <w:rFonts w:cs="Arial"/>
          <w:rtl/>
          <w:lang w:bidi="ar-DZ"/>
        </w:rPr>
        <w:t xml:space="preserve">86% </w:t>
      </w:r>
      <w:r>
        <w:rPr>
          <w:lang w:bidi="ar-DZ"/>
        </w:rPr>
        <w:t>(p?</w:t>
      </w:r>
      <w:r>
        <w:rPr>
          <w:rFonts w:cs="Arial"/>
          <w:rtl/>
          <w:lang w:bidi="ar-DZ"/>
        </w:rPr>
        <w:t>0,01</w:t>
      </w:r>
      <w:r>
        <w:rPr>
          <w:lang w:bidi="ar-DZ"/>
        </w:rPr>
        <w:t>) pour la quercétine et l'acide caféique respectivement. Ces observations démontrent un parallélisme entre l'induction de la production du NO par les cellules infectées et la réduction des lésions au niveau des pattes infectées et traitées. L'évolution de l'activité arginase dans ce tissu est inversement proportionnelle à la production du NO. Le dosage de l'activité myeloperoxydase à été utilisé comme marqueur de l'infiltration des PN dans les tissus infectés. Des désordres tissulaires ont été révélés par une caractérisation histologique des organes cibles infectés, le traitement par le diclo-Na, le CA et la Qr à permis la résorption des  lésions observées, le parasitisme diminue  dans la patte les ganglions lymphatiques et le foie, dans la rate aucune des trois molécules n'élimine le parasite  totalement</w:t>
      </w:r>
      <w:r>
        <w:rPr>
          <w:rFonts w:cs="Arial"/>
          <w:rtl/>
          <w:lang w:bidi="ar-DZ"/>
        </w:rPr>
        <w:t>.</w:t>
      </w:r>
    </w:p>
    <w:p w:rsidR="006051AD" w:rsidRPr="00D60159" w:rsidRDefault="003A1377" w:rsidP="003A1377">
      <w:pPr>
        <w:rPr>
          <w:rFonts w:hint="cs"/>
          <w:rtl/>
          <w:lang w:bidi="ar-DZ"/>
        </w:rPr>
      </w:pPr>
      <w:r>
        <w:rPr>
          <w:rFonts w:cs="Arial"/>
          <w:rtl/>
          <w:lang w:bidi="ar-DZ"/>
        </w:rPr>
        <w:t xml:space="preserve">2- </w:t>
      </w:r>
      <w:r>
        <w:rPr>
          <w:lang w:bidi="ar-DZ"/>
        </w:rPr>
        <w:t>Dans l'étude in vitro,  Le rôle des trois molécules a été recherché dans les surnageants des cultures de Polynucléaires neutrophiles (PN) et macrophages (MO) de souris BALB/c et C</w:t>
      </w:r>
      <w:r>
        <w:rPr>
          <w:rFonts w:cs="Arial"/>
          <w:rtl/>
          <w:lang w:bidi="ar-DZ"/>
        </w:rPr>
        <w:t>57</w:t>
      </w:r>
      <w:r>
        <w:rPr>
          <w:lang w:bidi="ar-DZ"/>
        </w:rPr>
        <w:t>BL/</w:t>
      </w:r>
      <w:r>
        <w:rPr>
          <w:rFonts w:cs="Arial"/>
          <w:rtl/>
          <w:lang w:bidi="ar-DZ"/>
        </w:rPr>
        <w:t xml:space="preserve">6 </w:t>
      </w:r>
      <w:r>
        <w:rPr>
          <w:lang w:bidi="ar-DZ"/>
        </w:rPr>
        <w:t>infectés ou non par L.  major. L'infection des PN et MO des souris BALB/c par L.major, atténue le  taux du NO  et de O</w:t>
      </w:r>
      <w:r>
        <w:rPr>
          <w:rFonts w:cs="Arial"/>
          <w:rtl/>
          <w:lang w:bidi="ar-DZ"/>
        </w:rPr>
        <w:t>2</w:t>
      </w:r>
      <w:r>
        <w:rPr>
          <w:lang w:bidi="ar-DZ"/>
        </w:rPr>
        <w:t>- chez ces cellules, parallèlement à l'augmentation de l'arginase chez les MO, alors que le  taux les  nitrites diminue chez PN des souris C</w:t>
      </w:r>
      <w:r>
        <w:rPr>
          <w:rFonts w:cs="Arial"/>
          <w:rtl/>
          <w:lang w:bidi="ar-DZ"/>
        </w:rPr>
        <w:t>57</w:t>
      </w:r>
      <w:r>
        <w:rPr>
          <w:lang w:bidi="ar-DZ"/>
        </w:rPr>
        <w:t>BL/</w:t>
      </w:r>
      <w:r>
        <w:rPr>
          <w:rFonts w:cs="Arial"/>
          <w:rtl/>
          <w:lang w:bidi="ar-DZ"/>
        </w:rPr>
        <w:t xml:space="preserve">6 </w:t>
      </w:r>
      <w:r>
        <w:rPr>
          <w:lang w:bidi="ar-DZ"/>
        </w:rPr>
        <w:t>et augmente chez les M?, parallèlement à la diminution de l'arginase</w:t>
      </w:r>
      <w:r>
        <w:rPr>
          <w:rFonts w:cs="Arial"/>
          <w:rtl/>
          <w:lang w:bidi="ar-DZ"/>
        </w:rPr>
        <w:t xml:space="preserve">.  </w:t>
      </w:r>
    </w:p>
    <w:sectPr w:rsidR="006051AD" w:rsidRPr="00D6015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775B0"/>
    <w:rsid w:val="000F369D"/>
    <w:rsid w:val="002775B0"/>
    <w:rsid w:val="003A1377"/>
    <w:rsid w:val="006051AD"/>
    <w:rsid w:val="006241D4"/>
    <w:rsid w:val="00667B8F"/>
    <w:rsid w:val="006D5754"/>
    <w:rsid w:val="00715CF9"/>
    <w:rsid w:val="00724CDF"/>
    <w:rsid w:val="00811570"/>
    <w:rsid w:val="00982D3E"/>
    <w:rsid w:val="00B47B5E"/>
    <w:rsid w:val="00D11410"/>
    <w:rsid w:val="00D60159"/>
    <w:rsid w:val="00E6555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1A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451</Words>
  <Characters>2575</Characters>
  <Application>Microsoft Office Word</Application>
  <DocSecurity>0</DocSecurity>
  <Lines>21</Lines>
  <Paragraphs>6</Paragraphs>
  <ScaleCrop>false</ScaleCrop>
  <Company/>
  <LinksUpToDate>false</LinksUpToDate>
  <CharactersWithSpaces>3020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14</cp:revision>
  <dcterms:created xsi:type="dcterms:W3CDTF">2015-05-06T06:18:00Z</dcterms:created>
  <dcterms:modified xsi:type="dcterms:W3CDTF">2015-05-06T07:18:00Z</dcterms:modified>
</cp:coreProperties>
</file>