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E6174" w:rsidRPr="00BE6174" w:rsidRDefault="00BE6174" w:rsidP="00BE6174">
      <w:pPr>
        <w:jc w:val="left"/>
        <w:rPr>
          <w:rFonts w:ascii="Times New Roman" w:hAnsi="Times New Roman"/>
          <w:sz w:val="24"/>
          <w:szCs w:val="24"/>
        </w:rPr>
      </w:pPr>
      <w:r w:rsidRPr="00BE6174">
        <w:rPr>
          <w:rFonts w:ascii="Times New Roman" w:hAnsi="Times New Roman"/>
          <w:sz w:val="24"/>
          <w:szCs w:val="24"/>
        </w:rPr>
        <w:t>Les systèmes supramoléculaires 'host-</w:t>
      </w:r>
      <w:proofErr w:type="spellStart"/>
      <w:r w:rsidRPr="00BE6174">
        <w:rPr>
          <w:rFonts w:ascii="Times New Roman" w:hAnsi="Times New Roman"/>
          <w:sz w:val="24"/>
          <w:szCs w:val="24"/>
        </w:rPr>
        <w:t>guest</w:t>
      </w:r>
      <w:proofErr w:type="spellEnd"/>
      <w:r w:rsidRPr="00BE6174">
        <w:rPr>
          <w:rFonts w:ascii="Times New Roman" w:hAnsi="Times New Roman"/>
          <w:sz w:val="24"/>
          <w:szCs w:val="24"/>
        </w:rPr>
        <w:t xml:space="preserve">' comportent des cavités contrôlées par la taille, la forme, la rigidité et la topologie des entités de base. Les cavités cristallines sont typiques des polymères de coordination, connus pour la richesse des empilements et la diversité des dimensionnalités. Les cavités moléculaires, dont un des meilleurs exemples est donné par les </w:t>
      </w:r>
      <w:proofErr w:type="spellStart"/>
      <w:r w:rsidRPr="00BE6174">
        <w:rPr>
          <w:rFonts w:ascii="Times New Roman" w:hAnsi="Times New Roman"/>
          <w:sz w:val="24"/>
          <w:szCs w:val="24"/>
        </w:rPr>
        <w:t>cyclodextrines</w:t>
      </w:r>
      <w:proofErr w:type="spellEnd"/>
      <w:r w:rsidRPr="00BE6174">
        <w:rPr>
          <w:rFonts w:ascii="Times New Roman" w:hAnsi="Times New Roman"/>
          <w:sz w:val="24"/>
          <w:szCs w:val="24"/>
        </w:rPr>
        <w:t>, illustrent quant à elles, l'importance de la macromolécule comme récepteur sélectif dans le réseau-hôte.</w:t>
      </w:r>
    </w:p>
    <w:p w:rsidR="00BE6174" w:rsidRPr="00BE6174" w:rsidRDefault="00BE6174" w:rsidP="00BE6174">
      <w:pPr>
        <w:jc w:val="left"/>
        <w:rPr>
          <w:rFonts w:ascii="Times New Roman" w:hAnsi="Times New Roman"/>
          <w:sz w:val="24"/>
          <w:szCs w:val="24"/>
        </w:rPr>
      </w:pPr>
      <w:r w:rsidRPr="00BE6174">
        <w:rPr>
          <w:rFonts w:ascii="Times New Roman" w:hAnsi="Times New Roman"/>
          <w:sz w:val="24"/>
          <w:szCs w:val="24"/>
        </w:rPr>
        <w:t>Les carboxylates, neutres ou chargés peuvent être impliqués dans les deux types d'assemblages. Dans les structures polymériques, ils peuvent former le réseau-hôte, ou être incorporés comme '</w:t>
      </w:r>
      <w:proofErr w:type="spellStart"/>
      <w:r w:rsidRPr="00BE6174">
        <w:rPr>
          <w:rFonts w:ascii="Times New Roman" w:hAnsi="Times New Roman"/>
          <w:sz w:val="24"/>
          <w:szCs w:val="24"/>
        </w:rPr>
        <w:t>guest</w:t>
      </w:r>
      <w:proofErr w:type="spellEnd"/>
      <w:r w:rsidRPr="00BE6174">
        <w:rPr>
          <w:rFonts w:ascii="Times New Roman" w:hAnsi="Times New Roman"/>
          <w:sz w:val="24"/>
          <w:szCs w:val="24"/>
        </w:rPr>
        <w:t xml:space="preserve">' dans les vides, auquel cas le composé est un complexe d'inclusion qui fait intervenir souvent un ou plusieurs </w:t>
      </w:r>
      <w:proofErr w:type="spellStart"/>
      <w:r w:rsidRPr="00BE6174">
        <w:rPr>
          <w:rFonts w:ascii="Times New Roman" w:hAnsi="Times New Roman"/>
          <w:sz w:val="24"/>
          <w:szCs w:val="24"/>
        </w:rPr>
        <w:t>contre-ions</w:t>
      </w:r>
      <w:proofErr w:type="spellEnd"/>
      <w:r w:rsidRPr="00BE6174">
        <w:rPr>
          <w:rFonts w:ascii="Times New Roman" w:hAnsi="Times New Roman"/>
          <w:sz w:val="24"/>
          <w:szCs w:val="24"/>
        </w:rPr>
        <w:t xml:space="preserve"> et exo-ligands. Dans les </w:t>
      </w:r>
      <w:proofErr w:type="spellStart"/>
      <w:r w:rsidRPr="00BE6174">
        <w:rPr>
          <w:rFonts w:ascii="Times New Roman" w:hAnsi="Times New Roman"/>
          <w:sz w:val="24"/>
          <w:szCs w:val="24"/>
        </w:rPr>
        <w:t>cyclodextrines</w:t>
      </w:r>
      <w:proofErr w:type="spellEnd"/>
      <w:r w:rsidRPr="00BE6174">
        <w:rPr>
          <w:rFonts w:ascii="Times New Roman" w:hAnsi="Times New Roman"/>
          <w:sz w:val="24"/>
          <w:szCs w:val="24"/>
        </w:rPr>
        <w:t xml:space="preserve">, ou les </w:t>
      </w:r>
      <w:proofErr w:type="spellStart"/>
      <w:r w:rsidRPr="00BE6174">
        <w:rPr>
          <w:rFonts w:ascii="Times New Roman" w:hAnsi="Times New Roman"/>
          <w:sz w:val="24"/>
          <w:szCs w:val="24"/>
        </w:rPr>
        <w:t>cavitands</w:t>
      </w:r>
      <w:proofErr w:type="spellEnd"/>
      <w:r w:rsidRPr="00BE6174">
        <w:rPr>
          <w:rFonts w:ascii="Times New Roman" w:hAnsi="Times New Roman"/>
          <w:sz w:val="24"/>
          <w:szCs w:val="24"/>
        </w:rPr>
        <w:t xml:space="preserve"> de manière générale, ils jouent le rôle de </w:t>
      </w:r>
      <w:proofErr w:type="spellStart"/>
      <w:r w:rsidRPr="00BE6174">
        <w:rPr>
          <w:rFonts w:ascii="Times New Roman" w:hAnsi="Times New Roman"/>
          <w:sz w:val="24"/>
          <w:szCs w:val="24"/>
        </w:rPr>
        <w:t>coligand</w:t>
      </w:r>
      <w:proofErr w:type="spellEnd"/>
      <w:r w:rsidRPr="00BE6174">
        <w:rPr>
          <w:rFonts w:ascii="Times New Roman" w:hAnsi="Times New Roman"/>
          <w:sz w:val="24"/>
          <w:szCs w:val="24"/>
        </w:rPr>
        <w:t>-supports, la cavité devenant ligand-matrice.</w:t>
      </w:r>
    </w:p>
    <w:p w:rsidR="00BE6174" w:rsidRPr="00BE6174" w:rsidRDefault="00BE6174" w:rsidP="00BE6174">
      <w:pPr>
        <w:jc w:val="left"/>
        <w:rPr>
          <w:rFonts w:ascii="Times New Roman" w:hAnsi="Times New Roman"/>
          <w:sz w:val="24"/>
          <w:szCs w:val="24"/>
        </w:rPr>
      </w:pPr>
      <w:r w:rsidRPr="00BE6174">
        <w:rPr>
          <w:rFonts w:ascii="Times New Roman" w:hAnsi="Times New Roman"/>
          <w:sz w:val="24"/>
          <w:szCs w:val="24"/>
        </w:rPr>
        <w:t xml:space="preserve">Nous nous sommes intéressés aux deux types de matériaux formés respectivement par les </w:t>
      </w:r>
      <w:proofErr w:type="spellStart"/>
      <w:r w:rsidRPr="00BE6174">
        <w:rPr>
          <w:rFonts w:ascii="Times New Roman" w:hAnsi="Times New Roman"/>
          <w:sz w:val="24"/>
          <w:szCs w:val="24"/>
        </w:rPr>
        <w:t>dicarboxylates</w:t>
      </w:r>
      <w:proofErr w:type="spellEnd"/>
      <w:r w:rsidRPr="00BE6174">
        <w:rPr>
          <w:rFonts w:ascii="Times New Roman" w:hAnsi="Times New Roman"/>
          <w:sz w:val="24"/>
          <w:szCs w:val="24"/>
        </w:rPr>
        <w:t xml:space="preserve"> aliphatiques de La(III) et par des complexes de métaux de transition obtenus avec les </w:t>
      </w:r>
      <w:proofErr w:type="spellStart"/>
      <w:r w:rsidRPr="00BE6174">
        <w:rPr>
          <w:rFonts w:ascii="Times New Roman" w:hAnsi="Times New Roman"/>
          <w:sz w:val="24"/>
          <w:szCs w:val="24"/>
        </w:rPr>
        <w:t>cyclodextrines</w:t>
      </w:r>
      <w:proofErr w:type="spellEnd"/>
      <w:r w:rsidRPr="00BE6174">
        <w:rPr>
          <w:rFonts w:ascii="Times New Roman" w:hAnsi="Times New Roman"/>
          <w:sz w:val="24"/>
          <w:szCs w:val="24"/>
        </w:rPr>
        <w:t xml:space="preserve"> (CD). Les méthodes expérimentales mises en œuvre sont, outre les </w:t>
      </w:r>
      <w:proofErr w:type="spellStart"/>
      <w:r w:rsidRPr="00BE6174">
        <w:rPr>
          <w:rFonts w:ascii="Times New Roman" w:hAnsi="Times New Roman"/>
          <w:sz w:val="24"/>
          <w:szCs w:val="24"/>
        </w:rPr>
        <w:t>cristallogénèses</w:t>
      </w:r>
      <w:proofErr w:type="spellEnd"/>
      <w:r w:rsidRPr="00BE6174">
        <w:rPr>
          <w:rFonts w:ascii="Times New Roman" w:hAnsi="Times New Roman"/>
          <w:sz w:val="24"/>
          <w:szCs w:val="24"/>
        </w:rPr>
        <w:t xml:space="preserve"> particulières aux matériaux hybrides et l'analyse élémentaire, respectivement les techniques IR, DSC, ATG/ATD d'une part et la spectrométrie de masse, la RMN 1D et 2D d'autre part. Les résolutions structurales par DRX ont été effectuées, après enregistrement des données, à température ambiante, sur Kappa CCD.</w:t>
      </w:r>
    </w:p>
    <w:p w:rsidR="00BE6174" w:rsidRPr="00BE6174" w:rsidRDefault="00BE6174" w:rsidP="00BE6174">
      <w:pPr>
        <w:jc w:val="left"/>
        <w:rPr>
          <w:rFonts w:ascii="Times New Roman" w:hAnsi="Times New Roman"/>
          <w:sz w:val="24"/>
          <w:szCs w:val="24"/>
        </w:rPr>
      </w:pPr>
      <w:r w:rsidRPr="00BE6174">
        <w:rPr>
          <w:rFonts w:ascii="Times New Roman" w:hAnsi="Times New Roman"/>
          <w:sz w:val="24"/>
          <w:szCs w:val="24"/>
        </w:rPr>
        <w:t>Dans la première partie, nous avons poursuivi notre précédent travail en utilisant les ligands flexibles à chaîne relativement longue et nous avons mis en évidence 4 complexes, tous sous forme monocristalline, dont 3 sont inédits :</w:t>
      </w:r>
    </w:p>
    <w:p w:rsidR="00BE6174" w:rsidRPr="00BE6174" w:rsidRDefault="00BE6174" w:rsidP="00BE6174">
      <w:pPr>
        <w:jc w:val="left"/>
        <w:rPr>
          <w:rFonts w:ascii="Times New Roman" w:hAnsi="Times New Roman"/>
          <w:sz w:val="24"/>
          <w:szCs w:val="24"/>
        </w:rPr>
      </w:pPr>
      <w:r w:rsidRPr="00BE6174">
        <w:rPr>
          <w:rFonts w:ascii="Times New Roman" w:hAnsi="Times New Roman"/>
          <w:sz w:val="24"/>
          <w:szCs w:val="24"/>
        </w:rPr>
        <w:t>- [</w:t>
      </w:r>
      <w:proofErr w:type="gramStart"/>
      <w:r w:rsidRPr="00BE6174">
        <w:rPr>
          <w:rFonts w:ascii="Times New Roman" w:hAnsi="Times New Roman"/>
          <w:sz w:val="24"/>
          <w:szCs w:val="24"/>
        </w:rPr>
        <w:t>La2(</w:t>
      </w:r>
      <w:proofErr w:type="gramEnd"/>
      <w:r w:rsidRPr="00BE6174">
        <w:rPr>
          <w:rFonts w:ascii="Times New Roman" w:hAnsi="Times New Roman"/>
          <w:sz w:val="24"/>
          <w:szCs w:val="24"/>
        </w:rPr>
        <w:t xml:space="preserve">glu)3(H2O)3]. 2H2O est une structure cage </w:t>
      </w:r>
      <w:proofErr w:type="spellStart"/>
      <w:r w:rsidRPr="00BE6174">
        <w:rPr>
          <w:rFonts w:ascii="Times New Roman" w:hAnsi="Times New Roman"/>
          <w:sz w:val="24"/>
          <w:szCs w:val="24"/>
        </w:rPr>
        <w:t>binucléaire</w:t>
      </w:r>
      <w:proofErr w:type="spellEnd"/>
      <w:r w:rsidRPr="00BE6174">
        <w:rPr>
          <w:rFonts w:ascii="Times New Roman" w:hAnsi="Times New Roman"/>
          <w:sz w:val="24"/>
          <w:szCs w:val="24"/>
        </w:rPr>
        <w:t xml:space="preserve">, peu commune, ou apparaît une  7 chélation, signalée pour la première fois avec le ligand </w:t>
      </w:r>
      <w:proofErr w:type="spellStart"/>
      <w:r w:rsidRPr="00BE6174">
        <w:rPr>
          <w:rFonts w:ascii="Times New Roman" w:hAnsi="Times New Roman"/>
          <w:sz w:val="24"/>
          <w:szCs w:val="24"/>
        </w:rPr>
        <w:t>glutarate</w:t>
      </w:r>
      <w:proofErr w:type="spellEnd"/>
      <w:r w:rsidRPr="00BE6174">
        <w:rPr>
          <w:rFonts w:ascii="Times New Roman" w:hAnsi="Times New Roman"/>
          <w:sz w:val="24"/>
          <w:szCs w:val="24"/>
        </w:rPr>
        <w:t>.</w:t>
      </w:r>
    </w:p>
    <w:p w:rsidR="00BE6174" w:rsidRPr="00BE6174" w:rsidRDefault="00BE6174" w:rsidP="00BE6174">
      <w:pPr>
        <w:jc w:val="left"/>
        <w:rPr>
          <w:rFonts w:ascii="Times New Roman" w:hAnsi="Times New Roman"/>
          <w:sz w:val="24"/>
          <w:szCs w:val="24"/>
        </w:rPr>
      </w:pPr>
      <w:r w:rsidRPr="00BE6174">
        <w:rPr>
          <w:rFonts w:ascii="Times New Roman" w:hAnsi="Times New Roman"/>
          <w:sz w:val="24"/>
          <w:szCs w:val="24"/>
        </w:rPr>
        <w:lastRenderedPageBreak/>
        <w:t>- [La(</w:t>
      </w:r>
      <w:proofErr w:type="spellStart"/>
      <w:r w:rsidRPr="00BE6174">
        <w:rPr>
          <w:rFonts w:ascii="Times New Roman" w:hAnsi="Times New Roman"/>
          <w:sz w:val="24"/>
          <w:szCs w:val="24"/>
        </w:rPr>
        <w:t>Hpim</w:t>
      </w:r>
      <w:proofErr w:type="spellEnd"/>
      <w:proofErr w:type="gramStart"/>
      <w:r w:rsidRPr="00BE6174">
        <w:rPr>
          <w:rFonts w:ascii="Times New Roman" w:hAnsi="Times New Roman"/>
          <w:sz w:val="24"/>
          <w:szCs w:val="24"/>
        </w:rPr>
        <w:t>)(</w:t>
      </w:r>
      <w:proofErr w:type="spellStart"/>
      <w:proofErr w:type="gramEnd"/>
      <w:r w:rsidRPr="00BE6174">
        <w:rPr>
          <w:rFonts w:ascii="Times New Roman" w:hAnsi="Times New Roman"/>
          <w:sz w:val="24"/>
          <w:szCs w:val="24"/>
        </w:rPr>
        <w:t>pim</w:t>
      </w:r>
      <w:proofErr w:type="spellEnd"/>
      <w:r w:rsidRPr="00BE6174">
        <w:rPr>
          <w:rFonts w:ascii="Times New Roman" w:hAnsi="Times New Roman"/>
          <w:sz w:val="24"/>
          <w:szCs w:val="24"/>
        </w:rPr>
        <w:t>)(H2O)]. 1H2O, [La(</w:t>
      </w:r>
      <w:proofErr w:type="spellStart"/>
      <w:r w:rsidRPr="00BE6174">
        <w:rPr>
          <w:rFonts w:ascii="Times New Roman" w:hAnsi="Times New Roman"/>
          <w:sz w:val="24"/>
          <w:szCs w:val="24"/>
        </w:rPr>
        <w:t>Hsub</w:t>
      </w:r>
      <w:proofErr w:type="spellEnd"/>
      <w:proofErr w:type="gramStart"/>
      <w:r w:rsidRPr="00BE6174">
        <w:rPr>
          <w:rFonts w:ascii="Times New Roman" w:hAnsi="Times New Roman"/>
          <w:sz w:val="24"/>
          <w:szCs w:val="24"/>
        </w:rPr>
        <w:t>)(</w:t>
      </w:r>
      <w:proofErr w:type="spellStart"/>
      <w:proofErr w:type="gramEnd"/>
      <w:r w:rsidRPr="00BE6174">
        <w:rPr>
          <w:rFonts w:ascii="Times New Roman" w:hAnsi="Times New Roman"/>
          <w:sz w:val="24"/>
          <w:szCs w:val="24"/>
        </w:rPr>
        <w:t>sub</w:t>
      </w:r>
      <w:proofErr w:type="spellEnd"/>
      <w:r w:rsidRPr="00BE6174">
        <w:rPr>
          <w:rFonts w:ascii="Times New Roman" w:hAnsi="Times New Roman"/>
          <w:sz w:val="24"/>
          <w:szCs w:val="24"/>
        </w:rPr>
        <w:t>)(H2O)] et [La2(</w:t>
      </w:r>
      <w:proofErr w:type="spellStart"/>
      <w:r w:rsidRPr="00BE6174">
        <w:rPr>
          <w:rFonts w:ascii="Times New Roman" w:hAnsi="Times New Roman"/>
          <w:sz w:val="24"/>
          <w:szCs w:val="24"/>
        </w:rPr>
        <w:t>adi</w:t>
      </w:r>
      <w:proofErr w:type="spellEnd"/>
      <w:r w:rsidRPr="00BE6174">
        <w:rPr>
          <w:rFonts w:ascii="Times New Roman" w:hAnsi="Times New Roman"/>
          <w:sz w:val="24"/>
          <w:szCs w:val="24"/>
        </w:rPr>
        <w:t xml:space="preserve">)3(H2O)4]. 6H2O sont plus proches des </w:t>
      </w:r>
      <w:proofErr w:type="spellStart"/>
      <w:r w:rsidRPr="00BE6174">
        <w:rPr>
          <w:rFonts w:ascii="Times New Roman" w:hAnsi="Times New Roman"/>
          <w:sz w:val="24"/>
          <w:szCs w:val="24"/>
        </w:rPr>
        <w:t>MOFs</w:t>
      </w:r>
      <w:proofErr w:type="spellEnd"/>
      <w:r w:rsidRPr="00BE6174">
        <w:rPr>
          <w:rFonts w:ascii="Times New Roman" w:hAnsi="Times New Roman"/>
          <w:sz w:val="24"/>
          <w:szCs w:val="24"/>
        </w:rPr>
        <w:t xml:space="preserve">. </w:t>
      </w:r>
      <w:proofErr w:type="gramStart"/>
      <w:r w:rsidRPr="00BE6174">
        <w:rPr>
          <w:rFonts w:ascii="Times New Roman" w:hAnsi="Times New Roman"/>
          <w:sz w:val="24"/>
          <w:szCs w:val="24"/>
        </w:rPr>
        <w:t>Le premier</w:t>
      </w:r>
      <w:proofErr w:type="gramEnd"/>
      <w:r w:rsidRPr="00BE6174">
        <w:rPr>
          <w:rFonts w:ascii="Times New Roman" w:hAnsi="Times New Roman"/>
          <w:sz w:val="24"/>
          <w:szCs w:val="24"/>
        </w:rPr>
        <w:t xml:space="preserve"> forme des cavités isolées incorporant l'eau de cristallisation. Le second contient des canaux vides. En dépit de sa charpente ouverte et du système de liaisons hydrogène limité, ce composé qui cristallise en même temps que l'acide comme produit secondaire est thermiquement plus stable que ce dernier. Le troisième est le plus hydraté : Les 6 molécules d'eau de cristallisation piégées dans les canaux, constituent en fait l'agent structurant car la structure est détruite lors de la déshydratation.</w:t>
      </w:r>
    </w:p>
    <w:p w:rsidR="00BA2E19" w:rsidRPr="005B0926" w:rsidRDefault="00BE6174" w:rsidP="00BE6174">
      <w:pPr>
        <w:jc w:val="left"/>
        <w:rPr>
          <w:rtl/>
        </w:rPr>
      </w:pPr>
      <w:r w:rsidRPr="00BE6174">
        <w:rPr>
          <w:rFonts w:ascii="Times New Roman" w:hAnsi="Times New Roman"/>
          <w:sz w:val="24"/>
          <w:szCs w:val="24"/>
        </w:rPr>
        <w:t xml:space="preserve">La seconde partie concerne les complexes obtenus avec, comme ligand-matrice, l' -CD substituée, qui est un ligand plus rigide et dont le macrocycle constitue une cavité, pouvant être étendue, à l'échelle du réseau, via les liaisons hydrogène. Après des synthèses multi-étapes, nous avons réussi à optimiser la </w:t>
      </w:r>
      <w:proofErr w:type="spellStart"/>
      <w:r w:rsidRPr="00BE6174">
        <w:rPr>
          <w:rFonts w:ascii="Times New Roman" w:hAnsi="Times New Roman"/>
          <w:sz w:val="24"/>
          <w:szCs w:val="24"/>
        </w:rPr>
        <w:t>difonctionnalisation</w:t>
      </w:r>
      <w:proofErr w:type="spellEnd"/>
      <w:r w:rsidRPr="00BE6174">
        <w:rPr>
          <w:rFonts w:ascii="Times New Roman" w:hAnsi="Times New Roman"/>
          <w:sz w:val="24"/>
          <w:szCs w:val="24"/>
        </w:rPr>
        <w:t xml:space="preserve"> </w:t>
      </w:r>
      <w:proofErr w:type="spellStart"/>
      <w:r w:rsidRPr="00BE6174">
        <w:rPr>
          <w:rFonts w:ascii="Times New Roman" w:hAnsi="Times New Roman"/>
          <w:sz w:val="24"/>
          <w:szCs w:val="24"/>
        </w:rPr>
        <w:t>régiosélective</w:t>
      </w:r>
      <w:proofErr w:type="spellEnd"/>
      <w:r w:rsidRPr="00BE6174">
        <w:rPr>
          <w:rFonts w:ascii="Times New Roman" w:hAnsi="Times New Roman"/>
          <w:sz w:val="24"/>
          <w:szCs w:val="24"/>
        </w:rPr>
        <w:t xml:space="preserve"> des CD, obtenir des ligands soufrés optiquement actifs.</w:t>
      </w:r>
      <w:r w:rsidR="005B0926" w:rsidRPr="005B0926">
        <w:rPr>
          <w:rFonts w:ascii="Times New Roman" w:hAnsi="Times New Roman"/>
          <w:sz w:val="24"/>
          <w:szCs w:val="24"/>
        </w:rPr>
        <w:t xml:space="preserve">  </w:t>
      </w:r>
    </w:p>
    <w:sectPr w:rsidR="00BA2E19" w:rsidRPr="005B0926"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Times New Roman">
    <w:altName w:val="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A1E5C28"/>
    <w:multiLevelType w:val="hybridMultilevel"/>
    <w:tmpl w:val="AD1A5438"/>
    <w:lvl w:ilvl="0" w:tplc="FFFFFFFF">
      <w:numFmt w:val="bullet"/>
      <w:lvlText w:val="-"/>
      <w:lvlJc w:val="left"/>
      <w:pPr>
        <w:tabs>
          <w:tab w:val="num" w:pos="720"/>
        </w:tabs>
        <w:ind w:left="720" w:hanging="360"/>
      </w:pPr>
      <w:rPr>
        <w:rFonts w:ascii="Times New Roman" w:eastAsia="Times New Roman" w:hAnsi="Times New Roman" w:cs="Times New Roman"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E904AD"/>
    <w:rsid w:val="00000DC2"/>
    <w:rsid w:val="000739F6"/>
    <w:rsid w:val="000E3A3B"/>
    <w:rsid w:val="000F7A67"/>
    <w:rsid w:val="001A0B89"/>
    <w:rsid w:val="002214A4"/>
    <w:rsid w:val="002701CD"/>
    <w:rsid w:val="00280B15"/>
    <w:rsid w:val="002C3E8D"/>
    <w:rsid w:val="0031162A"/>
    <w:rsid w:val="00311E08"/>
    <w:rsid w:val="00321F52"/>
    <w:rsid w:val="00331277"/>
    <w:rsid w:val="00334D8A"/>
    <w:rsid w:val="0034258A"/>
    <w:rsid w:val="003A796B"/>
    <w:rsid w:val="003D2F35"/>
    <w:rsid w:val="003E69F6"/>
    <w:rsid w:val="003F310A"/>
    <w:rsid w:val="00426714"/>
    <w:rsid w:val="00434F66"/>
    <w:rsid w:val="00491D7D"/>
    <w:rsid w:val="004D4A4F"/>
    <w:rsid w:val="004D6F79"/>
    <w:rsid w:val="00521727"/>
    <w:rsid w:val="00523A64"/>
    <w:rsid w:val="00565AA9"/>
    <w:rsid w:val="00573BFD"/>
    <w:rsid w:val="005854F9"/>
    <w:rsid w:val="005B0926"/>
    <w:rsid w:val="005B6953"/>
    <w:rsid w:val="005F22D0"/>
    <w:rsid w:val="005F47AF"/>
    <w:rsid w:val="0062768E"/>
    <w:rsid w:val="00637238"/>
    <w:rsid w:val="0067011E"/>
    <w:rsid w:val="006704C5"/>
    <w:rsid w:val="006C36A5"/>
    <w:rsid w:val="007410E4"/>
    <w:rsid w:val="00751822"/>
    <w:rsid w:val="00753AE2"/>
    <w:rsid w:val="00767D68"/>
    <w:rsid w:val="007A7F5D"/>
    <w:rsid w:val="007B11D7"/>
    <w:rsid w:val="0080117F"/>
    <w:rsid w:val="00864C32"/>
    <w:rsid w:val="00893F32"/>
    <w:rsid w:val="00906711"/>
    <w:rsid w:val="009B4078"/>
    <w:rsid w:val="009C0E77"/>
    <w:rsid w:val="009D0F83"/>
    <w:rsid w:val="009E217B"/>
    <w:rsid w:val="009E33B6"/>
    <w:rsid w:val="00A53F06"/>
    <w:rsid w:val="00A555F6"/>
    <w:rsid w:val="00A942A1"/>
    <w:rsid w:val="00AA61CD"/>
    <w:rsid w:val="00AB29CA"/>
    <w:rsid w:val="00AB5276"/>
    <w:rsid w:val="00AD52D6"/>
    <w:rsid w:val="00AE1983"/>
    <w:rsid w:val="00AE4A8A"/>
    <w:rsid w:val="00B23BE0"/>
    <w:rsid w:val="00B3099D"/>
    <w:rsid w:val="00B41A24"/>
    <w:rsid w:val="00B60D2E"/>
    <w:rsid w:val="00B64118"/>
    <w:rsid w:val="00B705B7"/>
    <w:rsid w:val="00B756B6"/>
    <w:rsid w:val="00B86F28"/>
    <w:rsid w:val="00BA2E19"/>
    <w:rsid w:val="00BA3A1F"/>
    <w:rsid w:val="00BC5AE1"/>
    <w:rsid w:val="00BE6174"/>
    <w:rsid w:val="00C038B1"/>
    <w:rsid w:val="00C06CA0"/>
    <w:rsid w:val="00C26198"/>
    <w:rsid w:val="00C431AD"/>
    <w:rsid w:val="00C51DB2"/>
    <w:rsid w:val="00C562C6"/>
    <w:rsid w:val="00C5687E"/>
    <w:rsid w:val="00CC0B8B"/>
    <w:rsid w:val="00CC4896"/>
    <w:rsid w:val="00CE63AF"/>
    <w:rsid w:val="00CF2D39"/>
    <w:rsid w:val="00D10B15"/>
    <w:rsid w:val="00D50979"/>
    <w:rsid w:val="00D601D7"/>
    <w:rsid w:val="00E412C7"/>
    <w:rsid w:val="00E6735E"/>
    <w:rsid w:val="00E904AD"/>
    <w:rsid w:val="00EB052E"/>
    <w:rsid w:val="00F13A56"/>
    <w:rsid w:val="00F323BA"/>
    <w:rsid w:val="00F64452"/>
    <w:rsid w:val="00F74862"/>
    <w:rsid w:val="00F92273"/>
    <w:rsid w:val="00F9438B"/>
    <w:rsid w:val="00FB34D4"/>
    <w:rsid w:val="00FC6982"/>
    <w:rsid w:val="00FF0F50"/>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10E4"/>
    <w:pPr>
      <w:spacing w:after="0" w:line="480" w:lineRule="auto"/>
      <w:jc w:val="center"/>
    </w:pPr>
    <w:rPr>
      <w:rFonts w:ascii="Calibri" w:eastAsia="Calibri" w:hAnsi="Calibri" w:cs="Arial"/>
      <w:lang w:val="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B3099D"/>
    <w:pPr>
      <w:bidi/>
      <w:spacing w:line="240" w:lineRule="auto"/>
      <w:jc w:val="left"/>
    </w:pPr>
    <w:rPr>
      <w:rFonts w:ascii="Tahoma" w:eastAsiaTheme="minorHAnsi" w:hAnsi="Tahoma" w:cs="Tahoma"/>
      <w:sz w:val="16"/>
      <w:szCs w:val="16"/>
      <w:lang w:val="en-US"/>
    </w:rPr>
  </w:style>
  <w:style w:type="character" w:customStyle="1" w:styleId="TextedebullesCar">
    <w:name w:val="Texte de bulles Car"/>
    <w:basedOn w:val="Policepardfaut"/>
    <w:link w:val="Textedebulles"/>
    <w:uiPriority w:val="99"/>
    <w:semiHidden/>
    <w:rsid w:val="00B3099D"/>
    <w:rPr>
      <w:rFonts w:ascii="Tahoma" w:hAnsi="Tahoma" w:cs="Tahoma"/>
      <w:sz w:val="16"/>
      <w:szCs w:val="16"/>
    </w:rPr>
  </w:style>
  <w:style w:type="paragraph" w:styleId="Corpsdetexte">
    <w:name w:val="Body Text"/>
    <w:basedOn w:val="Normal"/>
    <w:link w:val="CorpsdetexteCar"/>
    <w:semiHidden/>
    <w:rsid w:val="00FC6982"/>
    <w:pPr>
      <w:spacing w:line="360" w:lineRule="auto"/>
      <w:jc w:val="both"/>
    </w:pPr>
    <w:rPr>
      <w:rFonts w:ascii="Times New Roman" w:eastAsia="Times New Roman" w:hAnsi="Times New Roman" w:cs="Times New Roman"/>
      <w:sz w:val="24"/>
      <w:szCs w:val="24"/>
      <w:lang w:eastAsia="fr-FR"/>
    </w:rPr>
  </w:style>
  <w:style w:type="character" w:customStyle="1" w:styleId="CorpsdetexteCar">
    <w:name w:val="Corps de texte Car"/>
    <w:basedOn w:val="Policepardfaut"/>
    <w:link w:val="Corpsdetexte"/>
    <w:semiHidden/>
    <w:rsid w:val="00FC6982"/>
    <w:rPr>
      <w:rFonts w:ascii="Times New Roman" w:eastAsia="Times New Roman" w:hAnsi="Times New Roman" w:cs="Times New Roman"/>
      <w:sz w:val="24"/>
      <w:szCs w:val="24"/>
      <w:lang w:val="fr-FR" w:eastAsia="fr-FR"/>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1106</TotalTime>
  <Pages>2</Pages>
  <Words>444</Words>
  <Characters>2536</Characters>
  <Application>Microsoft Office Word</Application>
  <DocSecurity>0</DocSecurity>
  <Lines>21</Lines>
  <Paragraphs>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2975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94</cp:revision>
  <dcterms:created xsi:type="dcterms:W3CDTF">2014-12-07T11:07:00Z</dcterms:created>
  <dcterms:modified xsi:type="dcterms:W3CDTF">2014-12-15T14:29:00Z</dcterms:modified>
</cp:coreProperties>
</file>