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411" w:rsidRPr="004E3411" w:rsidRDefault="004E3411" w:rsidP="004E3411">
      <w:pPr>
        <w:bidi w:val="0"/>
        <w:rPr>
          <w:lang w:val="fr-FR" w:bidi="ar-DZ"/>
        </w:rPr>
      </w:pPr>
      <w:r w:rsidRPr="004E3411">
        <w:rPr>
          <w:lang w:val="fr-FR" w:bidi="ar-DZ"/>
        </w:rPr>
        <w:t xml:space="preserve">On s'est proposé d'étudier dans ce présent travail  la complexation d'un nouveau ligand dérivé aryloxazole et deux  ligands commerciaux ; l'un dérivé sulfamide et l'autre dérivé imidazole,  avec le manganèse (II), fer (II) et cuivre (II) ainsi que leurs activités biologiques. </w:t>
      </w:r>
    </w:p>
    <w:p w:rsidR="004E3411" w:rsidRPr="004E3411" w:rsidRDefault="004E3411" w:rsidP="004E3411">
      <w:pPr>
        <w:bidi w:val="0"/>
        <w:rPr>
          <w:lang w:val="fr-FR" w:bidi="ar-DZ"/>
        </w:rPr>
      </w:pPr>
      <w:r w:rsidRPr="004E3411">
        <w:rPr>
          <w:lang w:val="fr-FR" w:bidi="ar-DZ"/>
        </w:rPr>
        <w:t>Dans ce contexte, une caractérisation des ligands a  été réalisée dans une première partie par  spectrométrie IR, RMN-1H,  UV- Visible, chromatographie phase gazeuse et chromatographie phase liquide Haute performance HPLC.</w:t>
      </w:r>
    </w:p>
    <w:p w:rsidR="004E3411" w:rsidRPr="004E3411" w:rsidRDefault="004E3411" w:rsidP="004E3411">
      <w:pPr>
        <w:bidi w:val="0"/>
        <w:rPr>
          <w:lang w:val="fr-FR" w:bidi="ar-DZ"/>
        </w:rPr>
      </w:pPr>
      <w:r w:rsidRPr="004E3411">
        <w:rPr>
          <w:lang w:val="fr-FR" w:bidi="ar-DZ"/>
        </w:rPr>
        <w:t xml:space="preserve">La deuxième partie du travail a été consacrée à la synthèse des complexes à l'état solide. Ils ont été caractérisés par analyse élémentaire, conductimétrie, spectrométrie IR, RMN-1H  et UV- Visible. </w:t>
      </w:r>
    </w:p>
    <w:p w:rsidR="004E3411" w:rsidRPr="004E3411" w:rsidRDefault="004E3411" w:rsidP="004E3411">
      <w:pPr>
        <w:bidi w:val="0"/>
        <w:rPr>
          <w:lang w:val="fr-FR" w:bidi="ar-DZ"/>
        </w:rPr>
      </w:pPr>
      <w:r w:rsidRPr="004E3411">
        <w:rPr>
          <w:lang w:val="fr-FR" w:bidi="ar-DZ"/>
        </w:rPr>
        <w:t xml:space="preserve">La spectrométrie IR a permis de déduire le mode de coordination des ligands ; les deux ligands sulfaméthoxazole et le dérivé d'aryloxazole se lient d'une manière bidentate à travers les  atomes </w:t>
      </w:r>
    </w:p>
    <w:p w:rsidR="004E3411" w:rsidRPr="004E3411" w:rsidRDefault="004E3411" w:rsidP="004E3411">
      <w:pPr>
        <w:bidi w:val="0"/>
        <w:rPr>
          <w:lang w:val="fr-FR" w:bidi="ar-DZ"/>
        </w:rPr>
      </w:pPr>
      <w:r w:rsidRPr="004E3411">
        <w:rPr>
          <w:lang w:val="fr-FR" w:bidi="ar-DZ"/>
        </w:rPr>
        <w:t>N et O tandis que le métronidazole se lie d'une manière monodentate  par l'atome N du cycle imidazole.</w:t>
      </w:r>
    </w:p>
    <w:p w:rsidR="004E3411" w:rsidRPr="004E3411" w:rsidRDefault="004E3411" w:rsidP="004E3411">
      <w:pPr>
        <w:bidi w:val="0"/>
        <w:rPr>
          <w:lang w:val="fr-FR" w:bidi="ar-DZ"/>
        </w:rPr>
      </w:pPr>
      <w:r w:rsidRPr="004E3411">
        <w:rPr>
          <w:lang w:val="fr-FR" w:bidi="ar-DZ"/>
        </w:rPr>
        <w:t>La spectrophotométrie UV-Visible nous a permis de déterminer l'environnement autour de l'ion central et que les ions métalliques Mn (II), Fe (II) et Cu (II) adoptent une géométrie octaédrique.</w:t>
      </w:r>
    </w:p>
    <w:p w:rsidR="004E3411" w:rsidRPr="004E3411" w:rsidRDefault="004E3411" w:rsidP="004E3411">
      <w:pPr>
        <w:bidi w:val="0"/>
        <w:rPr>
          <w:lang w:val="fr-FR" w:bidi="ar-DZ"/>
        </w:rPr>
      </w:pPr>
      <w:r w:rsidRPr="004E3411">
        <w:rPr>
          <w:lang w:val="fr-FR" w:bidi="ar-DZ"/>
        </w:rPr>
        <w:t>La dernière partie du travail concerne l'évaluation in vitro de l'activité antibactérienne et antifongique des ligands et des complexes. Celles ci a été réalisée sur des bactéries du genre Escherichia, Starphylococcus, Pseudomonas et sur des champignons filamenteux du genre Aspergillus et enfin sur des levures genre Candida. L'étude a été réalisée par la méthode de diffusions sur gélose et les résultats sont comparés à un antibiotique sulfamide de référence à large spectre qui est le Sulfaméthoxazole pour l'activité antibactérienne et un antifongique azolé de référence ( Kétoconazole) pour l'activité antifongique.</w:t>
      </w:r>
    </w:p>
    <w:p w:rsidR="004E3411" w:rsidRPr="004E3411" w:rsidRDefault="004E3411" w:rsidP="004E3411">
      <w:pPr>
        <w:bidi w:val="0"/>
        <w:rPr>
          <w:lang w:val="fr-FR" w:bidi="ar-DZ"/>
        </w:rPr>
      </w:pPr>
      <w:r w:rsidRPr="004E3411">
        <w:rPr>
          <w:lang w:val="fr-FR" w:bidi="ar-DZ"/>
        </w:rPr>
        <w:t>Les complexes de manganèse avec le ligand dérivé aryloxazole et ligand sulfaméthoxazole ont révélé une remarquable inhibition de la croissance des bactéries spécialement Pseudomonas. aeruginosa et ainsi sur des champignons type Aspergillus. Les complexes de cuivre sont actifs sur Pseudomonas. aeruginosa par contre ils sont pas actifs sur les levures et les champignons filamenteux.</w:t>
      </w:r>
    </w:p>
    <w:p w:rsidR="004E3411" w:rsidRPr="004E3411" w:rsidRDefault="004E3411" w:rsidP="004E3411">
      <w:pPr>
        <w:bidi w:val="0"/>
        <w:rPr>
          <w:lang w:val="fr-FR" w:bidi="ar-DZ"/>
        </w:rPr>
      </w:pPr>
      <w:r w:rsidRPr="004E3411">
        <w:rPr>
          <w:lang w:val="fr-FR" w:bidi="ar-DZ"/>
        </w:rPr>
        <w:t>Les complexes de fer ne sont pas actifs sur les bactéries ni les levures mais actifs contre les Aspergillus.</w:t>
      </w:r>
    </w:p>
    <w:p w:rsidR="00967B56" w:rsidRPr="004E3411" w:rsidRDefault="004E3411" w:rsidP="004E3411">
      <w:pPr>
        <w:bidi w:val="0"/>
        <w:rPr>
          <w:rFonts w:hint="cs"/>
          <w:lang w:val="fr-FR" w:bidi="ar-DZ"/>
        </w:rPr>
      </w:pPr>
      <w:r w:rsidRPr="004E3411">
        <w:rPr>
          <w:lang w:val="fr-FR" w:bidi="ar-DZ"/>
        </w:rPr>
        <w:t xml:space="preserve">L'étude de la toxicité aigue effectuée sur les ligands et les complexes de manganèse a révélée que les ligands et les  complexes de manganèse ne sont pas toxiques à la dose de 2000 mg / kg administrée.    </w:t>
      </w:r>
    </w:p>
    <w:sectPr w:rsidR="00967B56" w:rsidRPr="004E3411"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E3411"/>
    <w:rsid w:val="004E3411"/>
    <w:rsid w:val="005F47AF"/>
    <w:rsid w:val="00967B5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B56"/>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2138</Characters>
  <Application>Microsoft Office Word</Application>
  <DocSecurity>0</DocSecurity>
  <Lines>17</Lines>
  <Paragraphs>5</Paragraphs>
  <ScaleCrop>false</ScaleCrop>
  <Company/>
  <LinksUpToDate>false</LinksUpToDate>
  <CharactersWithSpaces>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2015-11-03T07:27:00Z</dcterms:created>
  <dcterms:modified xsi:type="dcterms:W3CDTF">2015-11-03T07:27:00Z</dcterms:modified>
</cp:coreProperties>
</file>