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51FF2" w:rsidRPr="005E0DFE" w:rsidRDefault="00851FF2" w:rsidP="00851FF2">
      <w:pPr>
        <w:rPr>
          <w:rFonts w:asciiTheme="majorBidi" w:hAnsiTheme="majorBidi" w:cstheme="majorBidi"/>
          <w:b/>
          <w:sz w:val="24"/>
          <w:szCs w:val="24"/>
        </w:rPr>
      </w:pPr>
      <w:r w:rsidRPr="005E0DFE">
        <w:rPr>
          <w:rFonts w:asciiTheme="majorBidi" w:hAnsiTheme="majorBidi" w:cstheme="majorBidi"/>
          <w:b/>
          <w:sz w:val="24"/>
          <w:szCs w:val="24"/>
        </w:rPr>
        <w:t>Résumé</w:t>
      </w:r>
    </w:p>
    <w:p w:rsidR="00851FF2" w:rsidRPr="005E0DFE" w:rsidRDefault="00851FF2" w:rsidP="00851FF2">
      <w:pPr>
        <w:spacing w:after="0" w:line="240" w:lineRule="auto"/>
        <w:jc w:val="both"/>
        <w:rPr>
          <w:rFonts w:asciiTheme="majorBidi" w:hAnsiTheme="majorBidi" w:cstheme="majorBidi"/>
          <w:sz w:val="24"/>
          <w:szCs w:val="24"/>
        </w:rPr>
      </w:pPr>
    </w:p>
    <w:p w:rsidR="00851FF2" w:rsidRDefault="00851FF2" w:rsidP="00E85E3D">
      <w:pPr>
        <w:spacing w:after="0"/>
        <w:jc w:val="both"/>
        <w:rPr>
          <w:rFonts w:asciiTheme="majorBidi" w:hAnsiTheme="majorBidi" w:cstheme="majorBidi"/>
          <w:sz w:val="24"/>
          <w:szCs w:val="24"/>
        </w:rPr>
      </w:pPr>
      <w:r w:rsidRPr="005E0DFE">
        <w:rPr>
          <w:rFonts w:asciiTheme="majorBidi" w:hAnsiTheme="majorBidi" w:cstheme="majorBidi"/>
          <w:sz w:val="24"/>
          <w:szCs w:val="24"/>
        </w:rPr>
        <w:t xml:space="preserve">Dans ce travail de thèse, nous avons abordé l’étude de l’effet du recuit </w:t>
      </w:r>
      <w:proofErr w:type="spellStart"/>
      <w:r w:rsidRPr="005E0DFE">
        <w:rPr>
          <w:rFonts w:asciiTheme="majorBidi" w:hAnsiTheme="majorBidi" w:cstheme="majorBidi"/>
          <w:sz w:val="24"/>
          <w:szCs w:val="24"/>
        </w:rPr>
        <w:t>caoutchoutique</w:t>
      </w:r>
      <w:proofErr w:type="spellEnd"/>
      <w:r w:rsidRPr="005E0DFE">
        <w:rPr>
          <w:rFonts w:asciiTheme="majorBidi" w:hAnsiTheme="majorBidi" w:cstheme="majorBidi"/>
          <w:sz w:val="24"/>
          <w:szCs w:val="24"/>
        </w:rPr>
        <w:t xml:space="preserve"> sur un polymère amorphe qui est le polyéthylène téréphtalate (PET). Ce dernier est un thermoplastique qui présente des changements d’états physiques au voisinage de la température de transition vitreuse</w:t>
      </w:r>
      <w:r>
        <w:rPr>
          <w:rFonts w:asciiTheme="majorBidi" w:hAnsiTheme="majorBidi" w:cstheme="majorBidi"/>
          <w:sz w:val="24"/>
          <w:szCs w:val="24"/>
        </w:rPr>
        <w:t xml:space="preserve"> T</w:t>
      </w:r>
      <w:r w:rsidRPr="0011521D">
        <w:rPr>
          <w:rFonts w:asciiTheme="majorBidi" w:hAnsiTheme="majorBidi" w:cstheme="majorBidi"/>
          <w:sz w:val="24"/>
          <w:szCs w:val="24"/>
          <w:vertAlign w:val="subscript"/>
        </w:rPr>
        <w:t>g</w:t>
      </w:r>
      <w:r w:rsidRPr="005E0DFE">
        <w:rPr>
          <w:rFonts w:asciiTheme="majorBidi" w:hAnsiTheme="majorBidi" w:cstheme="majorBidi"/>
          <w:sz w:val="24"/>
          <w:szCs w:val="24"/>
        </w:rPr>
        <w:t>. L’étude a été effectuée à partir d’une technique expérimentale permettant des mesures électriques (CTS).</w:t>
      </w:r>
    </w:p>
    <w:p w:rsidR="00E85E3D" w:rsidRDefault="00E85E3D" w:rsidP="00E85E3D">
      <w:pPr>
        <w:spacing w:after="0"/>
        <w:jc w:val="both"/>
        <w:rPr>
          <w:rFonts w:asciiTheme="majorBidi" w:hAnsiTheme="majorBidi" w:cstheme="majorBidi"/>
          <w:sz w:val="24"/>
          <w:szCs w:val="24"/>
        </w:rPr>
      </w:pPr>
    </w:p>
    <w:p w:rsidR="00851FF2" w:rsidRDefault="00851FF2" w:rsidP="00851FF2">
      <w:pPr>
        <w:spacing w:after="0" w:line="240" w:lineRule="auto"/>
        <w:jc w:val="both"/>
        <w:rPr>
          <w:rFonts w:asciiTheme="majorBidi" w:hAnsiTheme="majorBidi" w:cstheme="majorBidi"/>
          <w:sz w:val="24"/>
          <w:szCs w:val="24"/>
        </w:rPr>
      </w:pPr>
      <w:r w:rsidRPr="005B1103">
        <w:rPr>
          <w:rFonts w:asciiTheme="majorBidi" w:hAnsiTheme="majorBidi" w:cstheme="majorBidi"/>
          <w:sz w:val="24"/>
          <w:szCs w:val="24"/>
        </w:rPr>
        <w:t xml:space="preserve">L’analyse de la structure fine du mode </w:t>
      </w:r>
      <w:r>
        <w:rPr>
          <w:rFonts w:asciiTheme="majorBidi" w:hAnsiTheme="majorBidi" w:cstheme="majorBidi"/>
          <w:sz w:val="24"/>
          <w:szCs w:val="24"/>
        </w:rPr>
        <w:t xml:space="preserve">de </w:t>
      </w:r>
      <w:r w:rsidRPr="005B1103">
        <w:rPr>
          <w:rFonts w:asciiTheme="majorBidi" w:hAnsiTheme="majorBidi" w:cstheme="majorBidi"/>
          <w:sz w:val="24"/>
          <w:szCs w:val="24"/>
        </w:rPr>
        <w:t>α  a montré que les temps de relaxation obéissent à une loi d’Arrhenius. Nous avons noté aussi la présence d’un phénomène de compensation</w:t>
      </w:r>
      <w:r>
        <w:rPr>
          <w:rFonts w:asciiTheme="majorBidi" w:hAnsiTheme="majorBidi" w:cstheme="majorBidi"/>
          <w:sz w:val="24"/>
          <w:szCs w:val="24"/>
        </w:rPr>
        <w:t xml:space="preserve"> où le </w:t>
      </w:r>
      <w:r w:rsidRPr="005E0DFE">
        <w:rPr>
          <w:rFonts w:asciiTheme="majorBidi" w:hAnsiTheme="majorBidi" w:cstheme="majorBidi"/>
          <w:sz w:val="24"/>
          <w:szCs w:val="24"/>
        </w:rPr>
        <w:t>point de compensation expérimentale (valeurs de T</w:t>
      </w:r>
      <w:r w:rsidRPr="009F1FCE">
        <w:rPr>
          <w:rFonts w:asciiTheme="majorBidi" w:hAnsiTheme="majorBidi" w:cstheme="majorBidi"/>
          <w:sz w:val="24"/>
          <w:szCs w:val="24"/>
          <w:vertAlign w:val="subscript"/>
        </w:rPr>
        <w:t>c</w:t>
      </w:r>
      <w:r w:rsidRPr="005E0DFE">
        <w:rPr>
          <w:rFonts w:asciiTheme="majorBidi" w:hAnsiTheme="majorBidi" w:cstheme="majorBidi"/>
          <w:sz w:val="24"/>
          <w:szCs w:val="24"/>
        </w:rPr>
        <w:t xml:space="preserve"> et </w:t>
      </w:r>
      <w:proofErr w:type="spellStart"/>
      <w:r w:rsidRPr="005E0DFE">
        <w:rPr>
          <w:rFonts w:asciiTheme="majorBidi" w:hAnsiTheme="majorBidi" w:cstheme="majorBidi"/>
          <w:sz w:val="24"/>
          <w:szCs w:val="24"/>
        </w:rPr>
        <w:t>τ</w:t>
      </w:r>
      <w:r w:rsidRPr="009F1FCE">
        <w:rPr>
          <w:rFonts w:asciiTheme="majorBidi" w:hAnsiTheme="majorBidi" w:cstheme="majorBidi"/>
          <w:sz w:val="24"/>
          <w:szCs w:val="24"/>
          <w:vertAlign w:val="subscript"/>
        </w:rPr>
        <w:t>c</w:t>
      </w:r>
      <w:proofErr w:type="spellEnd"/>
      <w:r>
        <w:rPr>
          <w:rFonts w:asciiTheme="majorBidi" w:hAnsiTheme="majorBidi" w:cstheme="majorBidi"/>
          <w:sz w:val="24"/>
          <w:szCs w:val="24"/>
        </w:rPr>
        <w:t>) constitue l</w:t>
      </w:r>
      <w:r w:rsidRPr="005E0DFE">
        <w:rPr>
          <w:rFonts w:asciiTheme="majorBidi" w:hAnsiTheme="majorBidi" w:cstheme="majorBidi"/>
          <w:sz w:val="24"/>
          <w:szCs w:val="24"/>
        </w:rPr>
        <w:t>’intersection des droites d’Arrhenius correspondant à chaque recuit.</w:t>
      </w:r>
    </w:p>
    <w:p w:rsidR="00851FF2" w:rsidRPr="005E0DFE" w:rsidRDefault="00851FF2" w:rsidP="00851FF2">
      <w:pPr>
        <w:spacing w:after="0" w:line="240" w:lineRule="auto"/>
        <w:jc w:val="both"/>
        <w:rPr>
          <w:rFonts w:asciiTheme="majorBidi" w:hAnsiTheme="majorBidi" w:cstheme="majorBidi"/>
          <w:sz w:val="24"/>
          <w:szCs w:val="24"/>
        </w:rPr>
      </w:pPr>
    </w:p>
    <w:p w:rsidR="00851FF2" w:rsidRPr="005E0DFE" w:rsidRDefault="00851FF2" w:rsidP="00851FF2">
      <w:pPr>
        <w:spacing w:after="0" w:line="240" w:lineRule="auto"/>
        <w:jc w:val="both"/>
        <w:rPr>
          <w:rFonts w:asciiTheme="majorBidi" w:hAnsiTheme="majorBidi" w:cstheme="majorBidi"/>
          <w:sz w:val="24"/>
          <w:szCs w:val="24"/>
        </w:rPr>
      </w:pPr>
      <w:r w:rsidRPr="005E0DFE">
        <w:rPr>
          <w:rFonts w:asciiTheme="majorBidi" w:hAnsiTheme="majorBidi" w:cstheme="majorBidi"/>
          <w:sz w:val="24"/>
          <w:szCs w:val="24"/>
        </w:rPr>
        <w:t>Ce phénomène est défini théoriquement par une relation linéaire entre les paramètres d’activation ΔH et ΔS dans la théorie d’</w:t>
      </w:r>
      <w:proofErr w:type="spellStart"/>
      <w:r w:rsidRPr="005E0DFE">
        <w:rPr>
          <w:rFonts w:asciiTheme="majorBidi" w:hAnsiTheme="majorBidi" w:cstheme="majorBidi"/>
          <w:sz w:val="24"/>
          <w:szCs w:val="24"/>
        </w:rPr>
        <w:t>Eryring</w:t>
      </w:r>
      <w:proofErr w:type="spellEnd"/>
      <w:r w:rsidRPr="005E0DFE">
        <w:rPr>
          <w:rFonts w:asciiTheme="majorBidi" w:hAnsiTheme="majorBidi" w:cstheme="majorBidi"/>
          <w:sz w:val="24"/>
          <w:szCs w:val="24"/>
        </w:rPr>
        <w:t>, ou par une relation quadratique d’ordre 2 entre l’enthalpie d’activation et la température du maximum du pic du thermo-courant T</w:t>
      </w:r>
      <w:r w:rsidRPr="005E0DFE">
        <w:rPr>
          <w:rFonts w:asciiTheme="majorBidi" w:hAnsiTheme="majorBidi" w:cstheme="majorBidi"/>
          <w:sz w:val="24"/>
          <w:szCs w:val="24"/>
          <w:vertAlign w:val="subscript"/>
        </w:rPr>
        <w:t>m</w:t>
      </w:r>
      <w:r w:rsidRPr="005E0DFE">
        <w:rPr>
          <w:rFonts w:asciiTheme="majorBidi" w:hAnsiTheme="majorBidi" w:cstheme="majorBidi"/>
          <w:sz w:val="24"/>
          <w:szCs w:val="24"/>
        </w:rPr>
        <w:t>. Les résultats expérimentaux sont très proches de la théorie, ce qui confirme la relation qui existe entre l’ent</w:t>
      </w:r>
      <w:r>
        <w:rPr>
          <w:rFonts w:asciiTheme="majorBidi" w:hAnsiTheme="majorBidi" w:cstheme="majorBidi"/>
          <w:sz w:val="24"/>
          <w:szCs w:val="24"/>
        </w:rPr>
        <w:t>halpie et l’atrophie du</w:t>
      </w:r>
      <w:r w:rsidRPr="005E0DFE">
        <w:rPr>
          <w:rFonts w:asciiTheme="majorBidi" w:hAnsiTheme="majorBidi" w:cstheme="majorBidi"/>
          <w:sz w:val="24"/>
          <w:szCs w:val="24"/>
        </w:rPr>
        <w:t xml:space="preserve"> (PET).    </w:t>
      </w:r>
    </w:p>
    <w:p w:rsidR="00851FF2" w:rsidRPr="005E0DFE" w:rsidRDefault="00851FF2" w:rsidP="00851FF2">
      <w:pPr>
        <w:spacing w:after="0" w:line="240" w:lineRule="auto"/>
        <w:jc w:val="both"/>
        <w:rPr>
          <w:rFonts w:asciiTheme="majorBidi" w:hAnsiTheme="majorBidi" w:cstheme="majorBidi"/>
          <w:sz w:val="24"/>
          <w:szCs w:val="24"/>
        </w:rPr>
      </w:pPr>
    </w:p>
    <w:p w:rsidR="00851FF2" w:rsidRPr="005E0DFE" w:rsidRDefault="00851FF2" w:rsidP="00851FF2">
      <w:pPr>
        <w:spacing w:after="0" w:line="240" w:lineRule="auto"/>
        <w:jc w:val="both"/>
        <w:rPr>
          <w:rFonts w:asciiTheme="majorBidi" w:hAnsiTheme="majorBidi" w:cstheme="majorBidi"/>
          <w:sz w:val="24"/>
          <w:szCs w:val="24"/>
        </w:rPr>
      </w:pPr>
      <w:r w:rsidRPr="005E0DFE">
        <w:rPr>
          <w:rFonts w:asciiTheme="majorBidi" w:hAnsiTheme="majorBidi" w:cstheme="majorBidi"/>
          <w:sz w:val="24"/>
          <w:szCs w:val="24"/>
        </w:rPr>
        <w:t>La seconde partie d</w:t>
      </w:r>
      <w:r>
        <w:rPr>
          <w:rFonts w:asciiTheme="majorBidi" w:hAnsiTheme="majorBidi" w:cstheme="majorBidi"/>
          <w:sz w:val="24"/>
          <w:szCs w:val="24"/>
        </w:rPr>
        <w:t xml:space="preserve">e nos travaux de recherche, a </w:t>
      </w:r>
      <w:r w:rsidRPr="005E0DFE">
        <w:rPr>
          <w:rFonts w:asciiTheme="majorBidi" w:hAnsiTheme="majorBidi" w:cstheme="majorBidi"/>
          <w:sz w:val="24"/>
          <w:szCs w:val="24"/>
        </w:rPr>
        <w:t xml:space="preserve">été consacré à la modélisation d'endommagements </w:t>
      </w:r>
      <w:proofErr w:type="spellStart"/>
      <w:r w:rsidRPr="005E0DFE">
        <w:rPr>
          <w:rFonts w:asciiTheme="majorBidi" w:hAnsiTheme="majorBidi" w:cstheme="majorBidi"/>
          <w:sz w:val="24"/>
          <w:szCs w:val="24"/>
        </w:rPr>
        <w:t>élastoplastique</w:t>
      </w:r>
      <w:proofErr w:type="spellEnd"/>
      <w:r w:rsidRPr="005E0DFE">
        <w:rPr>
          <w:rFonts w:asciiTheme="majorBidi" w:hAnsiTheme="majorBidi" w:cstheme="majorBidi"/>
          <w:sz w:val="24"/>
          <w:szCs w:val="24"/>
        </w:rPr>
        <w:t xml:space="preserve"> d’un composite stratifié (T300/914) par la méthode des éléments finis. Pour la validation de ce modèle, on a effectué l’étude de l’influence des deux maillages (10 et 28 éléments) sur le T300/914 pour un modèle [+45°, - 45°</w:t>
      </w:r>
      <w:proofErr w:type="gramStart"/>
      <w:r w:rsidRPr="005E0DFE">
        <w:rPr>
          <w:rFonts w:asciiTheme="majorBidi" w:hAnsiTheme="majorBidi" w:cstheme="majorBidi"/>
          <w:sz w:val="24"/>
          <w:szCs w:val="24"/>
        </w:rPr>
        <w:t>]</w:t>
      </w:r>
      <w:r w:rsidRPr="001D0941">
        <w:rPr>
          <w:rFonts w:asciiTheme="majorBidi" w:hAnsiTheme="majorBidi" w:cstheme="majorBidi"/>
          <w:sz w:val="24"/>
          <w:szCs w:val="24"/>
          <w:vertAlign w:val="subscript"/>
        </w:rPr>
        <w:t>S</w:t>
      </w:r>
      <w:proofErr w:type="gramEnd"/>
      <w:r w:rsidRPr="005E0DFE">
        <w:rPr>
          <w:rFonts w:asciiTheme="majorBidi" w:hAnsiTheme="majorBidi" w:cstheme="majorBidi"/>
          <w:sz w:val="24"/>
          <w:szCs w:val="24"/>
        </w:rPr>
        <w:t xml:space="preserve"> en essais de traction. L’analyse des résultats numériques, nous a permis de vérifier que le modèle de plasticité à écrouissage cinématique non linéaire reproduit assez bien les données expérimentales. De plus, nous avons constaté que les deux maillages réalisés (10 et 28 éléments) n'influent pas sur la réponse mécanique de la T300/914</w:t>
      </w:r>
      <w:r>
        <w:rPr>
          <w:rFonts w:asciiTheme="majorBidi" w:hAnsiTheme="majorBidi" w:cstheme="majorBidi"/>
          <w:sz w:val="24"/>
          <w:szCs w:val="24"/>
        </w:rPr>
        <w:t xml:space="preserve"> [Sadat et al. 2016].</w:t>
      </w:r>
    </w:p>
    <w:p w:rsidR="00851FF2" w:rsidRPr="005E0DFE" w:rsidRDefault="00851FF2" w:rsidP="00851FF2">
      <w:pPr>
        <w:spacing w:after="0" w:line="240" w:lineRule="auto"/>
        <w:jc w:val="both"/>
        <w:rPr>
          <w:rFonts w:asciiTheme="majorBidi" w:hAnsiTheme="majorBidi" w:cstheme="majorBidi"/>
          <w:sz w:val="24"/>
          <w:szCs w:val="24"/>
        </w:rPr>
      </w:pPr>
    </w:p>
    <w:sectPr w:rsidR="00851FF2" w:rsidRPr="005E0DFE" w:rsidSect="00307F6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08"/>
  <w:hyphenationZone w:val="425"/>
  <w:characterSpacingControl w:val="doNotCompress"/>
  <w:compat/>
  <w:rsids>
    <w:rsidRoot w:val="00851FF2"/>
    <w:rsid w:val="00307F63"/>
    <w:rsid w:val="00710DE8"/>
    <w:rsid w:val="0075432A"/>
    <w:rsid w:val="00782D96"/>
    <w:rsid w:val="00851FF2"/>
    <w:rsid w:val="00B55626"/>
    <w:rsid w:val="00D30FFD"/>
    <w:rsid w:val="00E85E3D"/>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51FF2"/>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51FF2"/>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microsoft.com/office/2007/relationships/stylesWithEffects" Target="stylesWithEffect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283</Words>
  <Characters>1561</Characters>
  <Application>Microsoft Office Word</Application>
  <DocSecurity>0</DocSecurity>
  <Lines>13</Lines>
  <Paragraphs>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1841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SONY</dc:creator>
  <cp:lastModifiedBy>naima</cp:lastModifiedBy>
  <cp:revision>3</cp:revision>
  <dcterms:created xsi:type="dcterms:W3CDTF">2017-04-22T16:19:00Z</dcterms:created>
  <dcterms:modified xsi:type="dcterms:W3CDTF">2017-06-14T10:50:00Z</dcterms:modified>
</cp:coreProperties>
</file>