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7C42" w:rsidRDefault="00A77C42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</w:p>
    <w:p w:rsidR="00A77C42" w:rsidRDefault="00A77C42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</w:p>
    <w:p w:rsidR="00A77C42" w:rsidRDefault="00A77C42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</w:p>
    <w:p w:rsidR="00A77C42" w:rsidRDefault="00A77C42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</w:p>
    <w:p w:rsidR="00A77C42" w:rsidRDefault="00A77C42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</w:p>
    <w:p w:rsidR="00A77C42" w:rsidRDefault="00A77C42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</w:p>
    <w:p w:rsidR="00851ED3" w:rsidRP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  <w:r w:rsidRPr="00BC3210">
        <w:rPr>
          <w:rFonts w:ascii="Times New Roman" w:hAnsi="Times New Roman" w:cs="Times New Roman"/>
          <w:b/>
          <w:sz w:val="28"/>
        </w:rPr>
        <w:t>Résumé</w:t>
      </w: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851ED3" w:rsidRDefault="00851ED3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  <w:r w:rsidRPr="00851ED3">
        <w:rPr>
          <w:rFonts w:ascii="Times New Roman" w:hAnsi="Times New Roman" w:cs="Times New Roman"/>
          <w:sz w:val="24"/>
        </w:rPr>
        <w:t>Ce travail a été consacré à l’étude de l’applicabilité et l’optimisation des paramètres opératoires des procédés d’oxydation avancée chimiques (Fenton), électrochimique (électro-Fenton) et photochimiques (photo-Fenton et photo électro-Fenton), pour le traitement de fluides de coupe</w:t>
      </w:r>
      <w:r>
        <w:rPr>
          <w:rFonts w:ascii="Times New Roman" w:hAnsi="Times New Roman" w:cs="Times New Roman"/>
          <w:sz w:val="24"/>
        </w:rPr>
        <w:t xml:space="preserve"> avant et après leur usage</w:t>
      </w:r>
      <w:r w:rsidRPr="00851ED3">
        <w:rPr>
          <w:rFonts w:ascii="Times New Roman" w:hAnsi="Times New Roman" w:cs="Times New Roman"/>
          <w:sz w:val="24"/>
        </w:rPr>
        <w:t xml:space="preserve">. </w:t>
      </w:r>
      <w:r w:rsidR="00BC3210">
        <w:rPr>
          <w:rFonts w:ascii="Times New Roman" w:hAnsi="Times New Roman" w:cs="Times New Roman"/>
          <w:sz w:val="24"/>
        </w:rPr>
        <w:t xml:space="preserve">Le taux d’élimination de la matière chimiquement oxydable pour chacun des procédés excède les 81%. </w:t>
      </w:r>
      <w:r w:rsidRPr="00851ED3">
        <w:rPr>
          <w:rFonts w:ascii="Times New Roman" w:hAnsi="Times New Roman" w:cs="Times New Roman"/>
          <w:sz w:val="24"/>
        </w:rPr>
        <w:t>L'oxydation de fluides d'huile de coupe par les procédés basés sur la réaction de Fenton a démontré l’efficacité de dégradation des composés organiques solubles et persistants, ce qui en fait une technique prometteuse pour l'application éventuelle de cette technologie pour la décontamination des eaux usées</w:t>
      </w:r>
      <w:r w:rsidR="00BC3210">
        <w:rPr>
          <w:rFonts w:ascii="Times New Roman" w:hAnsi="Times New Roman" w:cs="Times New Roman"/>
          <w:sz w:val="24"/>
        </w:rPr>
        <w:t>.</w:t>
      </w: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Default="00BC3210" w:rsidP="00851ED3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</w:rPr>
      </w:pPr>
    </w:p>
    <w:p w:rsidR="00BC3210" w:rsidRPr="00E87D07" w:rsidRDefault="00BC3210" w:rsidP="00E87D07">
      <w:pPr>
        <w:spacing w:line="360" w:lineRule="auto"/>
        <w:jc w:val="both"/>
        <w:rPr>
          <w:rFonts w:ascii="Times New Roman" w:hAnsi="Times New Roman" w:cs="Times New Roman"/>
          <w:caps/>
          <w:sz w:val="24"/>
        </w:rPr>
      </w:pPr>
    </w:p>
    <w:sectPr w:rsidR="00BC3210" w:rsidRPr="00E87D07" w:rsidSect="009E5C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51ED3"/>
    <w:rsid w:val="00510158"/>
    <w:rsid w:val="0060674B"/>
    <w:rsid w:val="00851ED3"/>
    <w:rsid w:val="00870809"/>
    <w:rsid w:val="009E5CC7"/>
    <w:rsid w:val="00A77C42"/>
    <w:rsid w:val="00BC3210"/>
    <w:rsid w:val="00BC7C0B"/>
    <w:rsid w:val="00E8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13AF58-2979-48A2-BC3F-B469DE770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5CC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">
    <w:name w:val="_"/>
    <w:basedOn w:val="Policepardfaut"/>
    <w:rsid w:val="00BC32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95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629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POSTE</dc:creator>
  <cp:lastModifiedBy>naima</cp:lastModifiedBy>
  <cp:revision>5</cp:revision>
  <dcterms:created xsi:type="dcterms:W3CDTF">2017-06-04T10:39:00Z</dcterms:created>
  <dcterms:modified xsi:type="dcterms:W3CDTF">2018-02-08T12:45:00Z</dcterms:modified>
</cp:coreProperties>
</file>