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23AF" w:rsidRDefault="001723AF" w:rsidP="001723AF">
      <w:r>
        <w:rPr>
          <w:noProof/>
          <w:lang w:eastAsia="fr-FR"/>
        </w:rPr>
        <w:pict>
          <v:shapetype id="_x0000_t202" coordsize="21600,21600" o:spt="202" path="m,l,21600r21600,l21600,xe">
            <v:stroke joinstyle="miter"/>
            <v:path gradientshapeok="t" o:connecttype="rect"/>
          </v:shapetype>
          <v:shape id="_x0000_s1026" type="#_x0000_t202" style="position:absolute;margin-left:-21.3pt;margin-top:-46.45pt;width:501.1pt;height:67.15pt;z-index:251658240">
            <v:textbox style="mso-next-textbox:#_x0000_s1026">
              <w:txbxContent>
                <w:p w:rsidR="001723AF" w:rsidRPr="001723AF" w:rsidRDefault="001723AF" w:rsidP="001723AF">
                  <w:pPr>
                    <w:spacing w:before="120" w:after="0" w:line="240" w:lineRule="auto"/>
                    <w:jc w:val="center"/>
                    <w:rPr>
                      <w:rFonts w:ascii="Times New Roman" w:hAnsi="Times New Roman" w:cs="Times New Roman"/>
                      <w:sz w:val="36"/>
                    </w:rPr>
                  </w:pPr>
                  <w:r w:rsidRPr="001723AF">
                    <w:rPr>
                      <w:rFonts w:ascii="Times New Roman" w:hAnsi="Times New Roman" w:cs="Times New Roman"/>
                      <w:sz w:val="36"/>
                    </w:rPr>
                    <w:t>CONTRIBUTION À L’ÉTUDE DES PROPRIÉTÉS PHYSICO-</w:t>
                  </w:r>
                </w:p>
                <w:p w:rsidR="001723AF" w:rsidRPr="001723AF" w:rsidRDefault="001723AF" w:rsidP="001723AF">
                  <w:pPr>
                    <w:spacing w:before="120" w:after="0" w:line="240" w:lineRule="auto"/>
                    <w:jc w:val="center"/>
                    <w:rPr>
                      <w:rFonts w:ascii="Times New Roman" w:hAnsi="Times New Roman" w:cs="Times New Roman"/>
                      <w:sz w:val="36"/>
                    </w:rPr>
                  </w:pPr>
                  <w:r w:rsidRPr="001723AF">
                    <w:rPr>
                      <w:rFonts w:ascii="Times New Roman" w:hAnsi="Times New Roman" w:cs="Times New Roman"/>
                      <w:sz w:val="36"/>
                    </w:rPr>
                    <w:t>MÉTALLURGIQUES D’ALLIAGES À BASE DE PLOMB*</w:t>
                  </w:r>
                </w:p>
              </w:txbxContent>
            </v:textbox>
          </v:shape>
        </w:pict>
      </w:r>
    </w:p>
    <w:p w:rsidR="001723AF" w:rsidRPr="001723AF" w:rsidRDefault="001723AF" w:rsidP="001723AF">
      <w:pPr>
        <w:spacing w:after="0" w:line="240" w:lineRule="auto"/>
        <w:ind w:firstLine="709"/>
        <w:jc w:val="center"/>
        <w:rPr>
          <w:sz w:val="28"/>
        </w:rPr>
      </w:pPr>
      <w:r w:rsidRPr="001723AF">
        <w:rPr>
          <w:sz w:val="28"/>
        </w:rPr>
        <w:t>M. Fadi ABOUHILOU**</w:t>
      </w:r>
    </w:p>
    <w:p w:rsidR="001723AF" w:rsidRPr="001723AF" w:rsidRDefault="001723AF" w:rsidP="001723AF">
      <w:pPr>
        <w:spacing w:after="0" w:line="240" w:lineRule="auto"/>
        <w:ind w:firstLine="709"/>
        <w:jc w:val="center"/>
        <w:rPr>
          <w:sz w:val="28"/>
        </w:rPr>
      </w:pPr>
      <w:r w:rsidRPr="001723AF">
        <w:rPr>
          <w:sz w:val="28"/>
        </w:rPr>
        <w:t>Laboratoire : « Physique des Matériaux »</w:t>
      </w:r>
    </w:p>
    <w:p w:rsidR="001723AF" w:rsidRPr="001723AF" w:rsidRDefault="001723AF" w:rsidP="001723AF">
      <w:pPr>
        <w:spacing w:after="0" w:line="240" w:lineRule="auto"/>
        <w:ind w:firstLine="709"/>
        <w:jc w:val="center"/>
        <w:rPr>
          <w:sz w:val="28"/>
        </w:rPr>
      </w:pPr>
      <w:r w:rsidRPr="001723AF">
        <w:rPr>
          <w:sz w:val="28"/>
        </w:rPr>
        <w:t>Equipe : « Transformations de Phases, Microstructure et Texture »</w:t>
      </w:r>
    </w:p>
    <w:p w:rsidR="001723AF" w:rsidRDefault="001723AF" w:rsidP="001723AF">
      <w:pPr>
        <w:spacing w:after="0" w:line="240" w:lineRule="auto"/>
        <w:ind w:firstLine="709"/>
        <w:jc w:val="center"/>
        <w:rPr>
          <w:sz w:val="28"/>
        </w:rPr>
      </w:pPr>
      <w:r>
        <w:rPr>
          <w:noProof/>
          <w:sz w:val="28"/>
          <w:lang w:eastAsia="fr-FR"/>
        </w:rPr>
        <w:pict>
          <v:shape id="_x0000_s1027" type="#_x0000_t202" style="position:absolute;left:0;text-align:left;margin-left:-21.3pt;margin-top:37.4pt;width:501.1pt;height:562.4pt;z-index:251659264">
            <v:textbox>
              <w:txbxContent>
                <w:p w:rsidR="001723AF" w:rsidRPr="001723AF" w:rsidRDefault="001723AF" w:rsidP="001723AF">
                  <w:pPr>
                    <w:spacing w:after="0"/>
                    <w:rPr>
                      <w:rFonts w:ascii="Times New Roman" w:hAnsi="Times New Roman" w:cs="Times New Roman"/>
                      <w:sz w:val="24"/>
                    </w:rPr>
                  </w:pPr>
                  <w:r w:rsidRPr="001723AF">
                    <w:rPr>
                      <w:rFonts w:ascii="Times New Roman" w:hAnsi="Times New Roman" w:cs="Times New Roman"/>
                      <w:sz w:val="24"/>
                    </w:rPr>
                    <w:t xml:space="preserve">Résumé : </w:t>
                  </w:r>
                </w:p>
                <w:p w:rsidR="001723AF" w:rsidRPr="001723AF" w:rsidRDefault="001723AF" w:rsidP="001723AF">
                  <w:pPr>
                    <w:spacing w:after="0"/>
                    <w:jc w:val="both"/>
                    <w:rPr>
                      <w:rFonts w:ascii="Times New Roman" w:hAnsi="Times New Roman" w:cs="Times New Roman"/>
                      <w:sz w:val="24"/>
                    </w:rPr>
                  </w:pPr>
                  <w:r w:rsidRPr="001723AF">
                    <w:rPr>
                      <w:rFonts w:ascii="Times New Roman" w:hAnsi="Times New Roman" w:cs="Times New Roman"/>
                      <w:sz w:val="24"/>
                    </w:rPr>
                    <w:t xml:space="preserve">    Le plomb et ses alliages restent pour le moment incontournables dans le domaine du stockage de  l’énergie et du recyclage, de faible coût et d’une grande maturité, en particulier dans les batteries plomb-acide employées, par exemple, dans les automobiles. Les grilles des batteries plomb-acide modernes sont élaborées en un alliage plomb-calcium-étain (Pb-Ca-Sn) qui remplace le système Pb-Sb. Ces batteries sont dites « sans entretien ». Les alliages Pb-Ca-Sn sont sujets à des transformations microstructurales  qui conduisent à une détérioration des propriétés mécaniques, électriques et chimiques de la grille.    Au cours des  dernières  décades, de nombreux travaux ont été consacrés aux études extensives des morphologies et des cinétiques des processus de précipitation lors du vieillissement et du survieillissement des alliages à base de plomb et surtout du système Pb-Ca-Sn, les travaux ont porté sur des alliages coulés et traités thermiquement sans aucune déformation préalable. Le durcissement par écrouissage, que  l’on  observe  pour  la  plupart  des  métaux,  est  un phénomène instable dans le cas du plomb.  Ce dernier durcit après écrouissage,  se restaure  et recristallise  rapidement à la température ambiante, le durcissement disparaissant.  Cependant, certains alliages du  type Pb-Ca-Sn ne sont pas sensibles à cette restauration à la température ambiante et conservent  l’effet durcissant de  l’écrouissage. C’est pour cette raison que  les alliages Pb-Ca-Sn laminés ont été développés dans les techniques de fabrication de grilles </w:t>
                  </w:r>
                </w:p>
                <w:p w:rsidR="001723AF" w:rsidRPr="001723AF" w:rsidRDefault="001723AF" w:rsidP="001723AF">
                  <w:pPr>
                    <w:spacing w:after="0"/>
                    <w:jc w:val="both"/>
                    <w:rPr>
                      <w:rFonts w:ascii="Times New Roman" w:hAnsi="Times New Roman" w:cs="Times New Roman"/>
                      <w:sz w:val="24"/>
                      <w:szCs w:val="24"/>
                    </w:rPr>
                  </w:pPr>
                  <w:r w:rsidRPr="001723AF">
                    <w:rPr>
                      <w:rFonts w:ascii="Times New Roman" w:hAnsi="Times New Roman" w:cs="Times New Roman"/>
                      <w:sz w:val="24"/>
                    </w:rPr>
                    <w:t>d’accumulateurs.</w:t>
                  </w:r>
                  <w:r>
                    <w:rPr>
                      <w:rFonts w:ascii="Times New Roman" w:hAnsi="Times New Roman" w:cs="Times New Roman"/>
                      <w:sz w:val="24"/>
                    </w:rPr>
                    <w:t xml:space="preserve"> </w:t>
                  </w:r>
                  <w:r w:rsidRPr="001723AF">
                    <w:rPr>
                      <w:rFonts w:ascii="Times New Roman" w:hAnsi="Times New Roman" w:cs="Times New Roman"/>
                      <w:sz w:val="24"/>
                    </w:rPr>
                    <w:t>Les travaux présentés,  s'inscrivent dans le cadre de la compréhension des  évolutions microstructurales et leur impact sur les propriétés mécaniques  et la durabilité après déformation</w:t>
                  </w:r>
                  <w:r>
                    <w:rPr>
                      <w:rFonts w:ascii="Times New Roman" w:hAnsi="Times New Roman" w:cs="Times New Roman"/>
                      <w:sz w:val="24"/>
                    </w:rPr>
                    <w:t xml:space="preserve"> </w:t>
                  </w:r>
                  <w:r w:rsidRPr="001723AF">
                    <w:rPr>
                      <w:rFonts w:ascii="Times New Roman" w:hAnsi="Times New Roman" w:cs="Times New Roman"/>
                      <w:sz w:val="24"/>
                    </w:rPr>
                    <w:t xml:space="preserve">plastique qui simule l’élaboration en usine et vieillissement.  Nous avons étudié ces évolutions par la diffraction des rayons X  qui  permet la détermination des paramètres microstructuraux obtenus par la méthode de Rietveld implémentée dans le code  PM2K pour l’alliage Pb-0.08 Ca-2 Sn (% en poids)  ainsi que par  la résistivité électrique et  la microdureté. Ces deux dernières  techniques, malgré  l’absence de corrélation, ont abouti à des résultats appréciables cependant.  Nous avons déterminé les orientations relatives et préférentielles des grains  (texture)  à l’échelle de  l’agrégat polycristallin. La détermination expérimentale de la texture de déformation puis de  recristallisation pour deux  taux de déformation a permis par calcul en utilisant plusieurs méthodes (Harmonique, WIMV et ADC…) qui ont abouti à des résultats plus ou moins similaires et qui ont permis de suivre l’évolution de la texture aux cours des différents traitements thermo </w:t>
                  </w:r>
                  <w:r w:rsidRPr="001723AF">
                    <w:rPr>
                      <w:rFonts w:ascii="Times New Roman" w:hAnsi="Times New Roman" w:cs="Times New Roman"/>
                      <w:sz w:val="24"/>
                      <w:szCs w:val="24"/>
                    </w:rPr>
                    <w:t xml:space="preserve">mécaniques.  En outre, une prédiction de la texture cristallographique par différentes méthodes (FC, RC, VPSC et GIA) a conforté les résultats expérimentaux de manière acceptable quant aux  positions </w:t>
                  </w:r>
                </w:p>
                <w:p w:rsidR="001723AF" w:rsidRPr="001723AF" w:rsidRDefault="001723AF" w:rsidP="001723AF">
                  <w:pPr>
                    <w:spacing w:after="0"/>
                    <w:jc w:val="both"/>
                    <w:rPr>
                      <w:rFonts w:ascii="Times New Roman" w:hAnsi="Times New Roman" w:cs="Times New Roman"/>
                      <w:sz w:val="24"/>
                      <w:szCs w:val="24"/>
                    </w:rPr>
                  </w:pPr>
                  <w:r w:rsidRPr="001723AF">
                    <w:rPr>
                      <w:rFonts w:ascii="Times New Roman" w:hAnsi="Times New Roman" w:cs="Times New Roman"/>
                      <w:sz w:val="24"/>
                      <w:szCs w:val="24"/>
                    </w:rPr>
                    <w:t xml:space="preserve">des composantes principales et leurs maximas. </w:t>
                  </w:r>
                </w:p>
                <w:p w:rsidR="001723AF" w:rsidRPr="001723AF" w:rsidRDefault="001723AF" w:rsidP="001723AF">
                  <w:pPr>
                    <w:spacing w:after="0"/>
                    <w:rPr>
                      <w:rFonts w:ascii="Times New Roman" w:hAnsi="Times New Roman" w:cs="Times New Roman"/>
                      <w:sz w:val="24"/>
                      <w:szCs w:val="24"/>
                    </w:rPr>
                  </w:pPr>
                  <w:r w:rsidRPr="001723AF">
                    <w:rPr>
                      <w:rFonts w:ascii="Times New Roman" w:hAnsi="Times New Roman" w:cs="Times New Roman"/>
                      <w:sz w:val="24"/>
                      <w:szCs w:val="24"/>
                    </w:rPr>
                    <w:t xml:space="preserve"> </w:t>
                  </w:r>
                </w:p>
                <w:p w:rsidR="001723AF" w:rsidRPr="001723AF" w:rsidRDefault="001723AF" w:rsidP="001723AF">
                  <w:pPr>
                    <w:spacing w:after="0"/>
                    <w:rPr>
                      <w:rFonts w:ascii="Times New Roman" w:hAnsi="Times New Roman" w:cs="Times New Roman"/>
                      <w:sz w:val="24"/>
                      <w:szCs w:val="24"/>
                    </w:rPr>
                  </w:pPr>
                  <w:r w:rsidRPr="001723AF">
                    <w:rPr>
                      <w:rFonts w:ascii="Times New Roman" w:hAnsi="Times New Roman" w:cs="Times New Roman"/>
                      <w:sz w:val="24"/>
                      <w:szCs w:val="24"/>
                    </w:rPr>
                    <w:t xml:space="preserve">Mots-clés  : Pb-Ca-Sn, Transformations de phases  - Recristallisation  - Microstructure  - Texture  - </w:t>
                  </w:r>
                </w:p>
                <w:p w:rsidR="001723AF" w:rsidRPr="001723AF" w:rsidRDefault="001723AF" w:rsidP="001723AF">
                  <w:pPr>
                    <w:spacing w:after="0"/>
                    <w:rPr>
                      <w:rFonts w:ascii="Times New Roman" w:hAnsi="Times New Roman" w:cs="Times New Roman"/>
                      <w:sz w:val="24"/>
                      <w:szCs w:val="24"/>
                    </w:rPr>
                  </w:pPr>
                  <w:r w:rsidRPr="001723AF">
                    <w:rPr>
                      <w:rFonts w:ascii="Times New Roman" w:hAnsi="Times New Roman" w:cs="Times New Roman"/>
                      <w:sz w:val="24"/>
                      <w:szCs w:val="24"/>
                    </w:rPr>
                    <w:t>Diffraction des Rayons X – MET - MEB.</w:t>
                  </w:r>
                </w:p>
              </w:txbxContent>
            </v:textbox>
          </v:shape>
        </w:pict>
      </w:r>
      <w:r w:rsidRPr="001723AF">
        <w:rPr>
          <w:sz w:val="28"/>
        </w:rPr>
        <w:t>Département : Matériaux et Composants, Faculté de Physique, USTHB</w:t>
      </w: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ind w:firstLine="709"/>
        <w:jc w:val="center"/>
        <w:rPr>
          <w:sz w:val="28"/>
        </w:rPr>
      </w:pPr>
    </w:p>
    <w:p w:rsidR="001723AF" w:rsidRDefault="001723AF" w:rsidP="001723AF">
      <w:pPr>
        <w:spacing w:after="0" w:line="240" w:lineRule="auto"/>
        <w:rPr>
          <w:sz w:val="28"/>
        </w:rPr>
      </w:pPr>
    </w:p>
    <w:p w:rsidR="001723AF" w:rsidRDefault="001723AF" w:rsidP="001723AF">
      <w:pPr>
        <w:spacing w:after="0" w:line="240" w:lineRule="auto"/>
        <w:rPr>
          <w:b/>
          <w:sz w:val="24"/>
          <w:szCs w:val="24"/>
        </w:rPr>
      </w:pPr>
    </w:p>
    <w:p w:rsidR="001723AF" w:rsidRPr="001723AF" w:rsidRDefault="001723AF" w:rsidP="001723AF">
      <w:pPr>
        <w:spacing w:after="0" w:line="240" w:lineRule="auto"/>
        <w:rPr>
          <w:b/>
          <w:sz w:val="24"/>
          <w:szCs w:val="24"/>
        </w:rPr>
      </w:pPr>
      <w:r w:rsidRPr="001723AF">
        <w:rPr>
          <w:b/>
          <w:sz w:val="24"/>
          <w:szCs w:val="24"/>
        </w:rPr>
        <w:t xml:space="preserve">   *Thèse de Doctorat</w:t>
      </w:r>
    </w:p>
    <w:p w:rsidR="001723AF" w:rsidRPr="001723AF" w:rsidRDefault="001723AF" w:rsidP="001723AF">
      <w:pPr>
        <w:spacing w:after="0" w:line="240" w:lineRule="auto"/>
        <w:rPr>
          <w:b/>
          <w:sz w:val="24"/>
          <w:szCs w:val="24"/>
        </w:rPr>
      </w:pPr>
      <w:r w:rsidRPr="001723AF">
        <w:rPr>
          <w:b/>
          <w:sz w:val="24"/>
          <w:szCs w:val="24"/>
        </w:rPr>
        <w:t>** Directeur de Thèse : Monsieur BRADAI Djamel, Professeur, Faculté de Physique, USTHB.</w:t>
      </w:r>
    </w:p>
    <w:sectPr w:rsidR="001723AF" w:rsidRPr="001723AF" w:rsidSect="001723AF">
      <w:pgSz w:w="11906" w:h="16838"/>
      <w:pgMar w:top="1417" w:right="1417" w:bottom="851"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3B25" w:rsidRDefault="00DE3B25" w:rsidP="001723AF">
      <w:pPr>
        <w:spacing w:after="0" w:line="240" w:lineRule="auto"/>
      </w:pPr>
      <w:r>
        <w:separator/>
      </w:r>
    </w:p>
  </w:endnote>
  <w:endnote w:type="continuationSeparator" w:id="1">
    <w:p w:rsidR="00DE3B25" w:rsidRDefault="00DE3B25" w:rsidP="001723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3B25" w:rsidRDefault="00DE3B25" w:rsidP="001723AF">
      <w:pPr>
        <w:spacing w:after="0" w:line="240" w:lineRule="auto"/>
      </w:pPr>
      <w:r>
        <w:separator/>
      </w:r>
    </w:p>
  </w:footnote>
  <w:footnote w:type="continuationSeparator" w:id="1">
    <w:p w:rsidR="00DE3B25" w:rsidRDefault="00DE3B25" w:rsidP="001723A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08"/>
  <w:hyphenationZone w:val="425"/>
  <w:characterSpacingControl w:val="doNotCompress"/>
  <w:footnotePr>
    <w:footnote w:id="0"/>
    <w:footnote w:id="1"/>
  </w:footnotePr>
  <w:endnotePr>
    <w:endnote w:id="0"/>
    <w:endnote w:id="1"/>
  </w:endnotePr>
  <w:compat/>
  <w:rsids>
    <w:rsidRoot w:val="001723AF"/>
    <w:rsid w:val="001723AF"/>
    <w:rsid w:val="005A7952"/>
    <w:rsid w:val="00DE3B2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795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723AF"/>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723AF"/>
  </w:style>
  <w:style w:type="paragraph" w:styleId="Pieddepage">
    <w:name w:val="footer"/>
    <w:basedOn w:val="Normal"/>
    <w:link w:val="PieddepageCar"/>
    <w:uiPriority w:val="99"/>
    <w:semiHidden/>
    <w:unhideWhenUsed/>
    <w:rsid w:val="001723AF"/>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1723A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52</Words>
  <Characters>289</Characters>
  <Application>Microsoft Office Word</Application>
  <DocSecurity>0</DocSecurity>
  <Lines>2</Lines>
  <Paragraphs>1</Paragraphs>
  <ScaleCrop>false</ScaleCrop>
  <Company>USTHB</Company>
  <LinksUpToDate>false</LinksUpToDate>
  <CharactersWithSpaces>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Fadi</dc:creator>
  <cp:keywords/>
  <dc:description/>
  <cp:lastModifiedBy>Fadi</cp:lastModifiedBy>
  <cp:revision>1</cp:revision>
  <dcterms:created xsi:type="dcterms:W3CDTF">2012-02-26T12:18:00Z</dcterms:created>
  <dcterms:modified xsi:type="dcterms:W3CDTF">2012-02-26T12:28:00Z</dcterms:modified>
</cp:coreProperties>
</file>