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F55" w:rsidRPr="00200E30" w:rsidRDefault="00200E30" w:rsidP="00200E30">
      <w:pPr>
        <w:jc w:val="left"/>
      </w:pPr>
      <w:r w:rsidRPr="00200E30">
        <w:rPr>
          <w:rFonts w:ascii="Times New Roman" w:eastAsia="Times New Roman" w:hAnsi="Times New Roman" w:cs="Times New Roman"/>
          <w:bCs/>
          <w:lang w:eastAsia="fr-FR"/>
        </w:rPr>
        <w:t xml:space="preserve">Notre travail porte sur l'investigation des deux systèmes (1-x) BaTiO3 + x BaMg1/3Nb2/3O3 et (1-x) BaTiO3 + x BaSc1/2Nb1/2O3. La diffraction des rayons X (D.R.X.) est utilisée pour l'identification des phases. Les paramètres structuraux et du profil ont été affinés par la méthode de </w:t>
      </w:r>
      <w:proofErr w:type="spellStart"/>
      <w:r w:rsidRPr="00200E30">
        <w:rPr>
          <w:rFonts w:ascii="Times New Roman" w:eastAsia="Times New Roman" w:hAnsi="Times New Roman" w:cs="Times New Roman"/>
          <w:bCs/>
          <w:lang w:eastAsia="fr-FR"/>
        </w:rPr>
        <w:t>Rietveld</w:t>
      </w:r>
      <w:proofErr w:type="spellEnd"/>
      <w:r w:rsidRPr="00200E30">
        <w:rPr>
          <w:rFonts w:ascii="Times New Roman" w:eastAsia="Times New Roman" w:hAnsi="Times New Roman" w:cs="Times New Roman"/>
          <w:bCs/>
          <w:lang w:eastAsia="fr-FR"/>
        </w:rPr>
        <w:t xml:space="preserve"> puis discutés. L'étude diélectrique a mis en évidence un comportement F.C pour le premier système et un comportement mixte (F.C/F.R) au sein du deuxième système. Les températures de transition ferroélectrique-</w:t>
      </w:r>
      <w:proofErr w:type="spellStart"/>
      <w:r w:rsidRPr="00200E30">
        <w:rPr>
          <w:rFonts w:ascii="Times New Roman" w:eastAsia="Times New Roman" w:hAnsi="Times New Roman" w:cs="Times New Roman"/>
          <w:bCs/>
          <w:lang w:eastAsia="fr-FR"/>
        </w:rPr>
        <w:t>paraélectrique</w:t>
      </w:r>
      <w:proofErr w:type="spellEnd"/>
      <w:r w:rsidRPr="00200E30">
        <w:rPr>
          <w:rFonts w:ascii="Times New Roman" w:eastAsia="Times New Roman" w:hAnsi="Times New Roman" w:cs="Times New Roman"/>
          <w:bCs/>
          <w:lang w:eastAsia="fr-FR"/>
        </w:rPr>
        <w:t xml:space="preserve"> ainsi que les valeurs des permittivités obtenues au sein de ces solutions solides sont prometteuses dans le cadre des applications industrielles et tenant compte du respect de l'environnement.</w:t>
      </w:r>
    </w:p>
    <w:sectPr w:rsidR="004B6F55" w:rsidRPr="00200E3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1995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116</cp:revision>
  <dcterms:created xsi:type="dcterms:W3CDTF">2014-12-07T11:07:00Z</dcterms:created>
  <dcterms:modified xsi:type="dcterms:W3CDTF">2014-12-21T13:45:00Z</dcterms:modified>
</cp:coreProperties>
</file>