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89B" w:rsidRDefault="0051589B" w:rsidP="0051589B">
      <w:r>
        <w:t>Ce travail de thèse a été réalisé dans le but d’étudier, la modulation du stress oxydatif dans une inflammation</w:t>
      </w:r>
    </w:p>
    <w:p w:rsidR="0051589B" w:rsidRDefault="0051589B" w:rsidP="0051589B">
      <w:proofErr w:type="gramStart"/>
      <w:r>
        <w:t>expérimentale</w:t>
      </w:r>
      <w:proofErr w:type="gramEnd"/>
      <w:r>
        <w:t xml:space="preserve"> induite in vivo par un </w:t>
      </w:r>
      <w:proofErr w:type="spellStart"/>
      <w:r>
        <w:t>tripeptide</w:t>
      </w:r>
      <w:proofErr w:type="spellEnd"/>
      <w:r>
        <w:t xml:space="preserve"> bactérien, puissant agent chimiotactique des leucocytes neutrophiles (PN), le </w:t>
      </w:r>
      <w:proofErr w:type="spellStart"/>
      <w:r>
        <w:t>fMLP</w:t>
      </w:r>
      <w:proofErr w:type="spellEnd"/>
      <w:r>
        <w:t xml:space="preserve"> (</w:t>
      </w:r>
      <w:proofErr w:type="spellStart"/>
      <w:r>
        <w:t>formyl</w:t>
      </w:r>
      <w:proofErr w:type="spellEnd"/>
      <w:r>
        <w:t>-</w:t>
      </w:r>
      <w:proofErr w:type="spellStart"/>
      <w:r>
        <w:t>méthionyl</w:t>
      </w:r>
      <w:proofErr w:type="spellEnd"/>
      <w:r>
        <w:t>-</w:t>
      </w:r>
      <w:proofErr w:type="spellStart"/>
      <w:r>
        <w:t>leucyl</w:t>
      </w:r>
      <w:proofErr w:type="spellEnd"/>
      <w:r>
        <w:t xml:space="preserve">-phénylalanine). -L’implication des COX et des NOS dans la modulation de stress oxydatif a été étudiée par le traitement des souris blanches de souches </w:t>
      </w:r>
      <w:proofErr w:type="spellStart"/>
      <w:r>
        <w:t>Swiss</w:t>
      </w:r>
      <w:proofErr w:type="spellEnd"/>
      <w:r>
        <w:t xml:space="preserve"> avec le </w:t>
      </w:r>
      <w:proofErr w:type="spellStart"/>
      <w:r>
        <w:t>diclofénac</w:t>
      </w:r>
      <w:proofErr w:type="spellEnd"/>
      <w:r>
        <w:t>-Na, un anti-inflammatoire non stéroïdien (AINS) inhibiteur plus</w:t>
      </w:r>
    </w:p>
    <w:p w:rsidR="0051589B" w:rsidRDefault="0051589B" w:rsidP="0051589B">
      <w:proofErr w:type="gramStart"/>
      <w:r>
        <w:t>sélectif</w:t>
      </w:r>
      <w:proofErr w:type="gramEnd"/>
      <w:r>
        <w:t xml:space="preserve"> de l’</w:t>
      </w:r>
      <w:proofErr w:type="spellStart"/>
      <w:r>
        <w:t>isoforme</w:t>
      </w:r>
      <w:proofErr w:type="spellEnd"/>
      <w:r>
        <w:t xml:space="preserve"> 2 des </w:t>
      </w:r>
      <w:proofErr w:type="spellStart"/>
      <w:r>
        <w:t>cyclooxygénases</w:t>
      </w:r>
      <w:proofErr w:type="spellEnd"/>
      <w:r>
        <w:t xml:space="preserve"> (COX2) et l’</w:t>
      </w:r>
      <w:proofErr w:type="spellStart"/>
      <w:r>
        <w:t>aminoguanidine</w:t>
      </w:r>
      <w:proofErr w:type="spellEnd"/>
      <w:r>
        <w:t xml:space="preserve"> (AG, inhibiteur de l’</w:t>
      </w:r>
      <w:proofErr w:type="spellStart"/>
      <w:r>
        <w:t>iNOS</w:t>
      </w:r>
      <w:proofErr w:type="spellEnd"/>
      <w:r>
        <w:t>) ou le L-NAME</w:t>
      </w:r>
    </w:p>
    <w:p w:rsidR="0051589B" w:rsidRDefault="0051589B" w:rsidP="0051589B">
      <w:r>
        <w:t>(</w:t>
      </w:r>
      <w:proofErr w:type="gramStart"/>
      <w:r>
        <w:t>inhibiteur</w:t>
      </w:r>
      <w:proofErr w:type="gramEnd"/>
      <w:r>
        <w:t xml:space="preserve"> non sélectif des NOS). Les inhibiteurs ont été injectés 15 minutes avant et trois heures après le </w:t>
      </w:r>
      <w:proofErr w:type="spellStart"/>
      <w:r>
        <w:t>fMLP</w:t>
      </w:r>
      <w:proofErr w:type="spellEnd"/>
      <w:r>
        <w:t>, afin de contrôler respectivement l’induction et l’activité des enzymes inductibles (</w:t>
      </w:r>
      <w:proofErr w:type="spellStart"/>
      <w:r>
        <w:t>iNOS</w:t>
      </w:r>
      <w:proofErr w:type="spellEnd"/>
      <w:r>
        <w:t xml:space="preserve"> et COX2) et constitutives (</w:t>
      </w:r>
      <w:proofErr w:type="spellStart"/>
      <w:r>
        <w:t>cNOS</w:t>
      </w:r>
      <w:proofErr w:type="spellEnd"/>
    </w:p>
    <w:p w:rsidR="0051589B" w:rsidRDefault="0051589B" w:rsidP="0051589B">
      <w:proofErr w:type="gramStart"/>
      <w:r>
        <w:t>et</w:t>
      </w:r>
      <w:proofErr w:type="gramEnd"/>
      <w:r>
        <w:t xml:space="preserve"> COX1).</w:t>
      </w:r>
    </w:p>
    <w:p w:rsidR="0051589B" w:rsidRDefault="0051589B" w:rsidP="0051589B">
      <w:r>
        <w:t xml:space="preserve">- La source des espèces réactives de l’oxygène (ROS) a été identifiée par la mesure de l’activité </w:t>
      </w:r>
      <w:proofErr w:type="spellStart"/>
      <w:r>
        <w:t>myéloperoxydase</w:t>
      </w:r>
      <w:proofErr w:type="spellEnd"/>
      <w:r>
        <w:t xml:space="preserve"> (MPO), une enzyme caractéristique des granules </w:t>
      </w:r>
      <w:proofErr w:type="spellStart"/>
      <w:r>
        <w:t>azurophiles</w:t>
      </w:r>
      <w:proofErr w:type="spellEnd"/>
      <w:r>
        <w:t xml:space="preserve"> et index de l’infiltration des tissus par les PN.</w:t>
      </w:r>
    </w:p>
    <w:p w:rsidR="0016314F" w:rsidRDefault="0051589B" w:rsidP="0051589B">
      <w:r>
        <w:t xml:space="preserve">Parallèlement, l’activité NO </w:t>
      </w:r>
      <w:proofErr w:type="spellStart"/>
      <w:r>
        <w:t>synthase</w:t>
      </w:r>
      <w:proofErr w:type="spellEnd"/>
      <w:r>
        <w:t xml:space="preserve"> (NOS) a été caractérisée par la mesure des taux de nitrites dans les homogénats des trois organes (foie, rein et estomac), récupérés 6 heures après l’induction de l’inflammation.</w:t>
      </w:r>
    </w:p>
    <w:sectPr w:rsidR="0016314F" w:rsidSect="0016314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589B"/>
    <w:rsid w:val="0016314F"/>
    <w:rsid w:val="00515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14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1106</Characters>
  <Application>Microsoft Office Word</Application>
  <DocSecurity>0</DocSecurity>
  <Lines>9</Lines>
  <Paragraphs>2</Paragraphs>
  <ScaleCrop>false</ScaleCrop>
  <Company/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2015-03-22T08:49:00Z</dcterms:created>
  <dcterms:modified xsi:type="dcterms:W3CDTF">2015-03-22T08:49:00Z</dcterms:modified>
</cp:coreProperties>
</file>